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Expte. Nº 6.669/18.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VISTO: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La Ley Nacional N° 27.200,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Ley 27.345 prórroga de la  Ley 27.200.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La Ley 2.756,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La preocupante situación social que vive nuestro país,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La nota ingresada a este Cuerpo por la Multisectorial de VGG, y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CONSIDERANDO: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 Que nuestra ciudad no escapa a la actual coyuntura siendo exponencial el aumento de la cantidad de vecinos que diariamente se acercan a distintas dependencias del municipio en la búsqueda de ayudas sociales para poder hacer frente a sus derechos básicos, como lo son: la alimentación, el acceso a la salud y a la educación, entre otros.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si bien desde este Concejo Deliberante conjuntamente con el Departamento Ejecutivo local se buscan alternativas y herramientas para poder dar una respuesta  a estos casos, en inviable desde el punto de vista económico y financiero, que el municipio de Villa Gobernador Gálvez pueda absorber tamaña demanda.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esta situación se prevé mucho más delicada en un futuro cercano por distintas razones; tales como la posibilidad de nuevos aumentos en los precios de los productos básicos  de consumo, incrementos de las tarifas de servicios, aumento del desempleo y un posible ajuste en los distintos estamentos estatales.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Que ante esta realidad se cree conveniente proveer las herramientas necesarias para la contención de los  sectores de mayor vulnerabilidad, asegurandoles el acceso a los derechos fundamentales para la vida.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todo ello, el Concejo Deliberante en uso de sus atribuciones aprueba la siguiente: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jc w:val="center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ORDENANZA Nº 2.5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66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/2018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1º) </w:t>
      </w:r>
      <w:r w:rsidDel="00000000" w:rsidR="00000000" w:rsidRPr="00000000">
        <w:rPr>
          <w:rtl w:val="0"/>
        </w:rPr>
        <w:t xml:space="preserve">Declárase la emergencia social en la ciudad de Villa Gobernador Gálvez por el término de 2 (dos) años a partir de su promulgación, en el marco de la Ley Nacional 27.200, con el objeto de mesurar la situación económica nacional en los sectores más vulnerables y velar las necesidades básicas de los mismos. 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2º)</w:t>
      </w:r>
      <w:r w:rsidDel="00000000" w:rsidR="00000000" w:rsidRPr="00000000">
        <w:rPr>
          <w:rtl w:val="0"/>
        </w:rPr>
        <w:t xml:space="preserve">  El Departamento Ejecutivo Municipal gestionará ante el Gobierno Nacional y  Provincial la articulación de políticas que permitan aunar criterios de intervención en materia social, alimentaria, económica y de salud en el territorio de la ciudad, para el abordaje de situaciones de exclusión extrema de la población.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ART.3°) </w:t>
      </w:r>
      <w:r w:rsidDel="00000000" w:rsidR="00000000" w:rsidRPr="00000000">
        <w:rPr>
          <w:rtl w:val="0"/>
        </w:rPr>
        <w:t xml:space="preserve">El Departamento Ejecutivo Municipal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gestionará  ante las autoridades del Gobierno de la Provincia de Santa Fe el aumento del monto asignado a cada beneficiario/a de la tarjeta única de ciudadanía, y que se disponga un mecanismo de actualización automática del mismo.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ART.4°) </w:t>
      </w:r>
      <w:r w:rsidDel="00000000" w:rsidR="00000000" w:rsidRPr="00000000">
        <w:rPr>
          <w:rtl w:val="0"/>
        </w:rPr>
        <w:t xml:space="preserve">El Departamento Ejecutivo remitirá semestralmente al Concejo Municipal un informe detallado de las gestiones y acciones efectuadas en cumplimiento de los dispuesto en los artículos precedentes de esta norma.</w:t>
      </w:r>
    </w:p>
    <w:p w:rsidR="00000000" w:rsidDel="00000000" w:rsidP="00000000" w:rsidRDefault="00000000" w:rsidRPr="00000000" w14:paraId="00000018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ART.5°)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Comuníquese, Publíquese, y Regístrese.</w:t>
      </w:r>
    </w:p>
    <w:p w:rsidR="00000000" w:rsidDel="00000000" w:rsidP="00000000" w:rsidRDefault="00000000" w:rsidRPr="00000000" w14:paraId="0000001A">
      <w:pPr>
        <w:spacing w:after="0" w:line="360" w:lineRule="auto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Dado en Sala de Sesiones del Concejo Deliberante, </w:t>
      </w:r>
      <w:r w:rsidDel="00000000" w:rsidR="00000000" w:rsidRPr="00000000">
        <w:rPr>
          <w:rtl w:val="0"/>
        </w:rPr>
        <w:t xml:space="preserve">1 de noviem</w:t>
      </w:r>
      <w:r w:rsidDel="00000000" w:rsidR="00000000" w:rsidRPr="00000000">
        <w:rPr>
          <w:vertAlign w:val="baseline"/>
          <w:rtl w:val="0"/>
        </w:rPr>
        <w:t xml:space="preserve">bre de 2018.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20160" w:w="12240"/>
      <w:pgMar w:bottom="1298.2677165354332" w:top="2777.9527559055123" w:left="1133.8582677165355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