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AD" w:rsidRDefault="004F1E15">
      <w:pPr>
        <w:spacing w:after="461"/>
        <w:ind w:left="-307" w:right="-480"/>
      </w:pPr>
      <w:r>
        <w:rPr>
          <w:noProof/>
        </w:rPr>
        <w:drawing>
          <wp:inline distT="0" distB="0" distL="0" distR="0">
            <wp:extent cx="5953791" cy="3755493"/>
            <wp:effectExtent l="0" t="0" r="0" b="0"/>
            <wp:docPr id="8848" name="Picture 8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791" cy="375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AD" w:rsidRDefault="004F1E15">
      <w:pPr>
        <w:spacing w:after="0"/>
        <w:ind w:left="1123"/>
      </w:pPr>
      <w:r>
        <w:rPr>
          <w:sz w:val="30"/>
        </w:rPr>
        <w:t>REFERENCIA DEL REGISTRO</w:t>
      </w:r>
    </w:p>
    <w:p w:rsidR="00A317AD" w:rsidRDefault="004F1E15">
      <w:pPr>
        <w:spacing w:after="403"/>
        <w:ind w:left="-278" w:right="-557"/>
      </w:pPr>
      <w:r>
        <w:rPr>
          <w:noProof/>
        </w:rPr>
        <w:drawing>
          <wp:inline distT="0" distB="0" distL="0" distR="0">
            <wp:extent cx="5984261" cy="3901811"/>
            <wp:effectExtent l="0" t="0" r="0" b="0"/>
            <wp:docPr id="8850" name="Picture 8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" name="Picture 88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4261" cy="39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AD" w:rsidRDefault="00A317AD">
      <w:pPr>
        <w:spacing w:after="0"/>
        <w:ind w:left="-230" w:right="-403"/>
      </w:pPr>
    </w:p>
    <w:p w:rsidR="00A317AD" w:rsidRDefault="004F1E15">
      <w:pPr>
        <w:pStyle w:val="Ttulo1"/>
      </w:pPr>
      <w:r>
        <w:t xml:space="preserve">Concejo Deliberante de Villa </w:t>
      </w:r>
      <w:proofErr w:type="spellStart"/>
      <w:r>
        <w:t>Gdor</w:t>
      </w:r>
      <w:proofErr w:type="spellEnd"/>
      <w:r>
        <w:t>- Gálvez</w:t>
      </w:r>
    </w:p>
    <w:p w:rsidR="00A317AD" w:rsidRDefault="004F1E15">
      <w:pPr>
        <w:spacing w:after="0"/>
        <w:ind w:left="10" w:right="-825" w:hanging="10"/>
        <w:rPr>
          <w:sz w:val="20"/>
        </w:rPr>
      </w:pPr>
      <w:r>
        <w:rPr>
          <w:sz w:val="20"/>
        </w:rPr>
        <w:t xml:space="preserve">José Piazza 765 - Tel. 4921370/1909 - Fax 4924344 - (2124). Villa Gdor. Gálvez - </w:t>
      </w:r>
      <w:proofErr w:type="spellStart"/>
      <w:r>
        <w:rPr>
          <w:sz w:val="20"/>
        </w:rPr>
        <w:t>Pcia</w:t>
      </w:r>
      <w:proofErr w:type="spellEnd"/>
      <w:r>
        <w:rPr>
          <w:sz w:val="20"/>
        </w:rPr>
        <w:t>. Santa Fe.</w:t>
      </w:r>
    </w:p>
    <w:p w:rsidR="004F1E15" w:rsidRDefault="004F1E15">
      <w:pPr>
        <w:spacing w:after="0"/>
        <w:ind w:left="10" w:right="-825" w:hanging="10"/>
      </w:pPr>
    </w:p>
    <w:p w:rsidR="00A317AD" w:rsidRDefault="004F1E1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816" w:line="237" w:lineRule="auto"/>
        <w:ind w:left="960" w:hanging="912"/>
      </w:pPr>
      <w:r>
        <w:rPr>
          <w:rFonts w:ascii="Times New Roman" w:eastAsia="Times New Roman" w:hAnsi="Times New Roman" w:cs="Times New Roman"/>
        </w:rPr>
        <w:lastRenderedPageBreak/>
        <w:t>PEDIDO DE INFORME SOBRE CONTENEDORES NUEVOS ACOPIADOS EN EL GALPÓN DE SERVICOS PÚBLICOS DE CALLE CHUBUT 917</w:t>
      </w:r>
    </w:p>
    <w:p w:rsidR="00A317AD" w:rsidRDefault="004F1E15">
      <w:pPr>
        <w:spacing w:after="876"/>
        <w:ind w:right="595"/>
        <w:jc w:val="right"/>
      </w:pPr>
      <w:r>
        <w:rPr>
          <w:rFonts w:ascii="Times New Roman" w:eastAsia="Times New Roman" w:hAnsi="Times New Roman" w:cs="Times New Roman"/>
        </w:rPr>
        <w:t>Villa Gobernador Gálvez, 17 de mayo de 2018.-</w:t>
      </w:r>
    </w:p>
    <w:p w:rsidR="00A317AD" w:rsidRDefault="004F1E15">
      <w:pPr>
        <w:spacing w:after="134"/>
        <w:ind w:left="14" w:hanging="10"/>
        <w:jc w:val="both"/>
      </w:pPr>
      <w:r>
        <w:rPr>
          <w:rFonts w:ascii="Times New Roman" w:eastAsia="Times New Roman" w:hAnsi="Times New Roman" w:cs="Times New Roman"/>
        </w:rPr>
        <w:t>VISTO</w:t>
      </w:r>
      <w:r>
        <w:rPr>
          <w:noProof/>
        </w:rPr>
        <w:drawing>
          <wp:inline distT="0" distB="0" distL="0" distR="0">
            <wp:extent cx="18282" cy="73159"/>
            <wp:effectExtent l="0" t="0" r="0" b="0"/>
            <wp:docPr id="8858" name="Picture 8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" name="Picture 88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AD" w:rsidRDefault="004F1E15">
      <w:pPr>
        <w:spacing w:after="431" w:line="335" w:lineRule="auto"/>
        <w:ind w:left="14" w:right="4194" w:hanging="10"/>
        <w:jc w:val="both"/>
      </w:pPr>
      <w:r>
        <w:rPr>
          <w:rFonts w:ascii="Times New Roman" w:eastAsia="Times New Roman" w:hAnsi="Times New Roman" w:cs="Times New Roman"/>
        </w:rPr>
        <w:t>La Ley Orgánica de Municipalidades N</w:t>
      </w:r>
      <w:r>
        <w:rPr>
          <w:rFonts w:ascii="Times New Roman" w:eastAsia="Times New Roman" w:hAnsi="Times New Roman" w:cs="Times New Roman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</w:rPr>
        <w:t>2756; El Decreto 878/16; y</w:t>
      </w:r>
    </w:p>
    <w:p w:rsidR="00A317AD" w:rsidRDefault="004F1E15">
      <w:pPr>
        <w:spacing w:after="132"/>
        <w:ind w:left="14" w:hanging="10"/>
        <w:jc w:val="both"/>
      </w:pPr>
      <w:r>
        <w:rPr>
          <w:rFonts w:ascii="Times New Roman" w:eastAsia="Times New Roman" w:hAnsi="Times New Roman" w:cs="Times New Roman"/>
        </w:rPr>
        <w:t>CONSIDERANDO</w:t>
      </w:r>
      <w:r>
        <w:rPr>
          <w:noProof/>
        </w:rPr>
        <w:drawing>
          <wp:inline distT="0" distB="0" distL="0" distR="0">
            <wp:extent cx="18282" cy="79256"/>
            <wp:effectExtent l="0" t="0" r="0" b="0"/>
            <wp:docPr id="8860" name="Picture 8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" name="Picture 88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7AD" w:rsidRDefault="004F1E15">
      <w:pPr>
        <w:spacing w:after="28" w:line="335" w:lineRule="auto"/>
        <w:ind w:left="14" w:right="566" w:hanging="10"/>
        <w:jc w:val="both"/>
      </w:pPr>
      <w:r>
        <w:rPr>
          <w:rFonts w:ascii="Times New Roman" w:eastAsia="Times New Roman" w:hAnsi="Times New Roman" w:cs="Times New Roman"/>
        </w:rPr>
        <w:t>Que en nuestra ciudad conviven dos sistemas de recolección de residuos, mediante contenedores que se colocan sobre la calzada y mediante operarios municipales que levantan las bolsas en forma manual.</w:t>
      </w:r>
    </w:p>
    <w:p w:rsidR="00A317AD" w:rsidRDefault="004F1E15">
      <w:pPr>
        <w:spacing w:after="4" w:line="335" w:lineRule="auto"/>
        <w:ind w:left="14" w:hanging="10"/>
        <w:jc w:val="both"/>
      </w:pPr>
      <w:r>
        <w:rPr>
          <w:rFonts w:ascii="Times New Roman" w:eastAsia="Times New Roman" w:hAnsi="Times New Roman" w:cs="Times New Roman"/>
        </w:rPr>
        <w:t>Que en relación con el sistema de contendores se observa</w:t>
      </w:r>
      <w:r>
        <w:rPr>
          <w:rFonts w:ascii="Times New Roman" w:eastAsia="Times New Roman" w:hAnsi="Times New Roman" w:cs="Times New Roman"/>
        </w:rPr>
        <w:t xml:space="preserve"> la ausencia de numerosas unidades en todo el ejido urbano, producto de roturas y la no reposición pertinente.</w:t>
      </w:r>
    </w:p>
    <w:p w:rsidR="00A317AD" w:rsidRPr="004F1E15" w:rsidRDefault="004F1E15">
      <w:pPr>
        <w:spacing w:after="4" w:line="335" w:lineRule="auto"/>
        <w:ind w:left="14" w:hanging="10"/>
        <w:jc w:val="both"/>
        <w:rPr>
          <w:rFonts w:ascii="Times New Roman" w:hAnsi="Times New Roman" w:cs="Times New Roman"/>
        </w:rPr>
      </w:pPr>
      <w:r w:rsidRPr="004F1E15">
        <w:rPr>
          <w:rFonts w:ascii="Times New Roman" w:eastAsia="Times New Roman" w:hAnsi="Times New Roman" w:cs="Times New Roman"/>
        </w:rPr>
        <w:t>Que la falencia detallada en el párrafo precedente ocasiona la saturación de los contenedores existentes y la presencia de residuos domiciliarios</w:t>
      </w:r>
      <w:r w:rsidRPr="004F1E15">
        <w:rPr>
          <w:rFonts w:ascii="Times New Roman" w:eastAsia="Times New Roman" w:hAnsi="Times New Roman" w:cs="Times New Roman"/>
        </w:rPr>
        <w:t xml:space="preserve"> en la vía pública poniendo en riesgo la salud e integridad </w:t>
      </w:r>
      <w:proofErr w:type="spellStart"/>
      <w:r w:rsidRPr="004F1E15">
        <w:rPr>
          <w:rFonts w:ascii="Times New Roman" w:eastAsia="Times New Roman" w:hAnsi="Times New Roman" w:cs="Times New Roman"/>
        </w:rPr>
        <w:t>fisica</w:t>
      </w:r>
      <w:proofErr w:type="spellEnd"/>
      <w:r w:rsidRPr="004F1E15">
        <w:rPr>
          <w:rFonts w:ascii="Times New Roman" w:eastAsia="Times New Roman" w:hAnsi="Times New Roman" w:cs="Times New Roman"/>
        </w:rPr>
        <w:t xml:space="preserve"> de los habitantes.</w:t>
      </w:r>
    </w:p>
    <w:p w:rsidR="00A317AD" w:rsidRPr="004F1E15" w:rsidRDefault="004F1E15">
      <w:pPr>
        <w:spacing w:after="391" w:line="354" w:lineRule="auto"/>
        <w:ind w:left="29"/>
        <w:rPr>
          <w:rFonts w:ascii="Times New Roman" w:hAnsi="Times New Roman" w:cs="Times New Roman"/>
        </w:rPr>
      </w:pPr>
      <w:r w:rsidRPr="004F1E15">
        <w:rPr>
          <w:rFonts w:ascii="Times New Roman" w:eastAsia="Times New Roman" w:hAnsi="Times New Roman" w:cs="Times New Roman"/>
        </w:rPr>
        <w:t>Que se puede observar desde hace varias semanas el acopio de gran cantidad de contenedores nuevos en el galpón municipal de Servicios Públicos cito en calle Chubut 917, q</w:t>
      </w:r>
      <w:r w:rsidRPr="004F1E15">
        <w:rPr>
          <w:rFonts w:ascii="Times New Roman" w:eastAsia="Times New Roman" w:hAnsi="Times New Roman" w:cs="Times New Roman"/>
        </w:rPr>
        <w:t>ue podrían ser utilizados para reponer aquellos que salen de circulación por su mal estado.</w:t>
      </w:r>
    </w:p>
    <w:p w:rsidR="00A317AD" w:rsidRPr="004F1E15" w:rsidRDefault="004F1E15" w:rsidP="004F1E15">
      <w:pPr>
        <w:spacing w:after="0" w:line="361" w:lineRule="auto"/>
        <w:ind w:left="10" w:firstLine="10"/>
        <w:rPr>
          <w:rFonts w:ascii="Times New Roman" w:hAnsi="Times New Roman" w:cs="Times New Roman"/>
        </w:rPr>
      </w:pPr>
      <w:r w:rsidRPr="004F1E15">
        <w:rPr>
          <w:rFonts w:ascii="Times New Roman" w:eastAsia="Times New Roman" w:hAnsi="Times New Roman" w:cs="Times New Roman"/>
        </w:rPr>
        <w:t>Por todo lo expuesto los concejales del Bloque Justicialista — Frente para la Victoria elevan para su tratamiento y posterior aprobación el presente proyecto de:</w:t>
      </w:r>
    </w:p>
    <w:p w:rsidR="00A317AD" w:rsidRDefault="004F1E15" w:rsidP="004F1E15">
      <w:pPr>
        <w:pStyle w:val="Ttulo2"/>
        <w:spacing w:after="0"/>
        <w:ind w:right="19"/>
      </w:pPr>
      <w:r w:rsidRPr="004F1E15">
        <w:t>DE</w:t>
      </w:r>
      <w:r w:rsidRPr="004F1E15">
        <w:t>CRETO</w:t>
      </w:r>
    </w:p>
    <w:p w:rsidR="004F1E15" w:rsidRPr="004F1E15" w:rsidRDefault="004F1E15" w:rsidP="004F1E15"/>
    <w:p w:rsidR="00A317AD" w:rsidRPr="004F1E15" w:rsidRDefault="004F1E15" w:rsidP="004F1E15">
      <w:pPr>
        <w:spacing w:after="0" w:line="335" w:lineRule="auto"/>
        <w:ind w:left="14" w:hanging="10"/>
        <w:jc w:val="both"/>
        <w:rPr>
          <w:rFonts w:ascii="Times New Roman" w:hAnsi="Times New Roman" w:cs="Times New Roman"/>
        </w:rPr>
      </w:pPr>
      <w:r w:rsidRPr="004F1E15">
        <w:rPr>
          <w:rFonts w:ascii="Times New Roman" w:eastAsia="Times New Roman" w:hAnsi="Times New Roman" w:cs="Times New Roman"/>
        </w:rPr>
        <w:t>ARTÍCULO N</w:t>
      </w:r>
      <w:r w:rsidRPr="004F1E15">
        <w:rPr>
          <w:rFonts w:ascii="Times New Roman" w:eastAsia="Times New Roman" w:hAnsi="Times New Roman" w:cs="Times New Roman"/>
          <w:vertAlign w:val="superscript"/>
        </w:rPr>
        <w:t xml:space="preserve">O </w:t>
      </w:r>
      <w:proofErr w:type="gramStart"/>
      <w:r w:rsidRPr="004F1E15">
        <w:rPr>
          <w:rFonts w:ascii="Times New Roman" w:eastAsia="Times New Roman" w:hAnsi="Times New Roman" w:cs="Times New Roman"/>
        </w:rPr>
        <w:t>1</w:t>
      </w:r>
      <w:r w:rsidRPr="004F1E15">
        <w:rPr>
          <w:rFonts w:ascii="Times New Roman" w:eastAsia="Times New Roman" w:hAnsi="Times New Roman" w:cs="Times New Roman"/>
        </w:rPr>
        <w:t xml:space="preserve"> :</w:t>
      </w:r>
      <w:proofErr w:type="gramEnd"/>
      <w:r w:rsidRPr="004F1E15">
        <w:rPr>
          <w:rFonts w:ascii="Times New Roman" w:eastAsia="Times New Roman" w:hAnsi="Times New Roman" w:cs="Times New Roman"/>
        </w:rPr>
        <w:t xml:space="preserve"> El Concejo Deliberante se dirige al Departamento Ejecutivo Municipal para que en el plazo de 5 días hábiles eleve a este cuerpo deliberativo un informe sobre el destino y</w:t>
      </w:r>
    </w:p>
    <w:p w:rsidR="00A317AD" w:rsidRDefault="004F1E15" w:rsidP="004F1E15">
      <w:pPr>
        <w:spacing w:after="0" w:line="327" w:lineRule="auto"/>
        <w:ind w:left="24" w:hanging="10"/>
        <w:jc w:val="both"/>
        <w:rPr>
          <w:rFonts w:ascii="Times New Roman" w:hAnsi="Times New Roman" w:cs="Times New Roman"/>
        </w:rPr>
      </w:pPr>
      <w:r w:rsidRPr="004F1E15">
        <w:rPr>
          <w:rFonts w:ascii="Times New Roman" w:hAnsi="Times New Roman" w:cs="Times New Roman"/>
        </w:rPr>
        <w:t>la demora en la distribución de los contenedores de residuos nuevos acopiados en el galpón municipal de calle Chubut 917.</w:t>
      </w:r>
    </w:p>
    <w:p w:rsidR="004F1E15" w:rsidRPr="004F1E15" w:rsidRDefault="004F1E15" w:rsidP="004F1E15">
      <w:pPr>
        <w:spacing w:after="0" w:line="327" w:lineRule="auto"/>
        <w:ind w:left="24" w:hanging="10"/>
        <w:jc w:val="both"/>
        <w:rPr>
          <w:rFonts w:ascii="Times New Roman" w:hAnsi="Times New Roman" w:cs="Times New Roman"/>
        </w:rPr>
      </w:pPr>
    </w:p>
    <w:p w:rsidR="00A317AD" w:rsidRDefault="004F1E15" w:rsidP="004F1E15">
      <w:pPr>
        <w:spacing w:after="0" w:line="327" w:lineRule="auto"/>
        <w:ind w:left="24" w:hanging="10"/>
        <w:jc w:val="both"/>
        <w:rPr>
          <w:rFonts w:ascii="Times New Roman" w:hAnsi="Times New Roman" w:cs="Times New Roman"/>
        </w:rPr>
      </w:pPr>
      <w:r w:rsidRPr="004F1E15">
        <w:rPr>
          <w:rFonts w:ascii="Times New Roman" w:hAnsi="Times New Roman" w:cs="Times New Roman"/>
        </w:rPr>
        <w:t>ARTÍCULO N</w:t>
      </w:r>
      <w:r w:rsidRPr="004F1E15">
        <w:rPr>
          <w:rFonts w:ascii="Times New Roman" w:hAnsi="Times New Roman" w:cs="Times New Roman"/>
          <w:vertAlign w:val="superscript"/>
        </w:rPr>
        <w:t xml:space="preserve">O </w:t>
      </w:r>
      <w:r w:rsidRPr="004F1E15">
        <w:rPr>
          <w:rFonts w:ascii="Times New Roman" w:hAnsi="Times New Roman" w:cs="Times New Roman"/>
        </w:rPr>
        <w:t>2: De forma</w:t>
      </w:r>
    </w:p>
    <w:p w:rsidR="004F1E15" w:rsidRPr="004F1E15" w:rsidRDefault="004F1E15" w:rsidP="004F1E15">
      <w:pPr>
        <w:spacing w:after="0" w:line="327" w:lineRule="auto"/>
        <w:ind w:left="24" w:hanging="10"/>
        <w:jc w:val="both"/>
        <w:rPr>
          <w:rFonts w:ascii="Times New Roman" w:hAnsi="Times New Roman" w:cs="Times New Roman"/>
        </w:rPr>
      </w:pPr>
    </w:p>
    <w:p w:rsidR="004F1E15" w:rsidRPr="004F1E15" w:rsidRDefault="004F1E15" w:rsidP="004F1E15">
      <w:pPr>
        <w:spacing w:after="0" w:line="327" w:lineRule="auto"/>
        <w:ind w:left="24" w:hanging="10"/>
        <w:jc w:val="both"/>
        <w:rPr>
          <w:rFonts w:ascii="Times New Roman" w:hAnsi="Times New Roman" w:cs="Times New Roman"/>
        </w:rPr>
      </w:pPr>
      <w:r w:rsidRPr="004F1E15">
        <w:rPr>
          <w:rFonts w:ascii="Times New Roman" w:hAnsi="Times New Roman" w:cs="Times New Roman"/>
        </w:rPr>
        <w:t xml:space="preserve">Dado en el bloque Justicialista — FPV del Concejo Deliberante de VGG, a los diecisiete </w:t>
      </w:r>
      <w:proofErr w:type="spellStart"/>
      <w:r w:rsidRPr="004F1E15">
        <w:rPr>
          <w:rFonts w:ascii="Times New Roman" w:hAnsi="Times New Roman" w:cs="Times New Roman"/>
        </w:rPr>
        <w:t>dias</w:t>
      </w:r>
      <w:proofErr w:type="spellEnd"/>
      <w:r w:rsidRPr="004F1E15">
        <w:rPr>
          <w:rFonts w:ascii="Times New Roman" w:hAnsi="Times New Roman" w:cs="Times New Roman"/>
        </w:rPr>
        <w:t xml:space="preserve"> del mes de mayo de 2018</w:t>
      </w:r>
    </w:p>
    <w:p w:rsidR="00A317AD" w:rsidRDefault="00A317AD">
      <w:pPr>
        <w:spacing w:after="0"/>
        <w:ind w:left="624"/>
      </w:pPr>
      <w:bookmarkStart w:id="0" w:name="_GoBack"/>
      <w:bookmarkEnd w:id="0"/>
    </w:p>
    <w:sectPr w:rsidR="00A317AD">
      <w:pgSz w:w="11900" w:h="16840"/>
      <w:pgMar w:top="422" w:right="1334" w:bottom="1267" w:left="1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AD"/>
    <w:rsid w:val="004F1E15"/>
    <w:rsid w:val="00A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432F"/>
  <w15:docId w15:val="{18C7A43B-BA1D-4291-8993-83680196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413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76"/>
      <w:ind w:right="595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Luffi</dc:creator>
  <cp:keywords/>
  <cp:lastModifiedBy>Luffi</cp:lastModifiedBy>
  <cp:revision>2</cp:revision>
  <dcterms:created xsi:type="dcterms:W3CDTF">2018-05-16T14:28:00Z</dcterms:created>
  <dcterms:modified xsi:type="dcterms:W3CDTF">2018-05-16T14:28:00Z</dcterms:modified>
</cp:coreProperties>
</file>