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Exptes. Nº 6.631/18.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52400" cy="152400"/>
            <wp:effectExtent b="0" l="0" r="0" t="0"/>
            <wp:docPr descr="Descripción: https://cfl.dropboxstatic.com/static/images/icons/icon_spacer-vflN3BYt2.gif" id="1" name="image1.png"/>
            <a:graphic>
              <a:graphicData uri="http://schemas.openxmlformats.org/drawingml/2006/picture">
                <pic:pic>
                  <pic:nvPicPr>
                    <pic:cNvPr descr="Descripción: https://cfl.dropboxstatic.com/static/images/icons/icon_spacer-vflN3BYt2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vertAlign w:val="baseline"/>
        </w:rPr>
        <w:drawing>
          <wp:inline distB="0" distT="0" distL="114300" distR="114300">
            <wp:extent cx="152400" cy="152400"/>
            <wp:effectExtent b="0" l="0" r="0" t="0"/>
            <wp:docPr descr="Descripción: https://cfl.dropboxstatic.com/static/images/icons/icon_spacer-vflN3BYt2.gif" id="2" name="image1.png"/>
            <a:graphic>
              <a:graphicData uri="http://schemas.openxmlformats.org/drawingml/2006/picture">
                <pic:pic>
                  <pic:nvPicPr>
                    <pic:cNvPr descr="Descripción: https://cfl.dropboxstatic.com/static/images/icons/icon_spacer-vflN3BYt2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2756.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N° 2533/18, y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contextualSpacing w:val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Departamento Ejecutivo Municipal solicita a este Cuerpo prorrogar la puesta en vigencia de la Ordenanza N° 2533/18 Régimen de Retención del DReI,  respecto de los pagos originados en facturas, que se efectúen a los concesionarios, contratistas y proveedores de la Municipalidad de VGG” hasta el 1° de noviembre de 2018.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según lo manifestado por el Departamento Ejecutivo Municipal, ante dificultades y retraso en la implementación del sistema operativo para aplicar la norma de referencia, lo que dificulta seguir efectuando el pago a proveedores, es necesario prorrogar la puesta en vigencia de la Ordenanza N° 2533/18, sancionada por este Concejo Deliberante en fecha 16 de agosto de 2018, que en el Art. 13° establece su puesta en vigencia a partir del 1° de octubre de 2018.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lef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este Cuerpo Deliberativo considera viable el otorgamiento  de la prórroga solicitada.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el siguiente: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contextualSpacing w:val="0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DECRETO Nº 1206/2018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ART.1º) </w:t>
      </w:r>
      <w:r w:rsidDel="00000000" w:rsidR="00000000" w:rsidRPr="00000000">
        <w:rPr>
          <w:sz w:val="22"/>
          <w:szCs w:val="22"/>
          <w:rtl w:val="0"/>
        </w:rPr>
        <w:t xml:space="preserve">Autorizase al Departamento Ejecutivo Municipal a prorrogar la puesta en vigencia de la Ordenanza N° 2533/18 hasta el  1° de noviembre de 2018.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Comuníquese, Publíquese, y Regístrese.</w:t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11 de octubre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20160" w:w="12240"/>
      <w:pgMar w:bottom="1134" w:top="2665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