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Exptes. Nº 6.602/18.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52400" cy="152400"/>
            <wp:effectExtent b="0" l="0" r="0" t="0"/>
            <wp:docPr descr="Descripción: https://cfl.dropboxstatic.com/static/images/icons/icon_spacer-vflN3BYt2.gif" id="1" name="image1.png"/>
            <a:graphic>
              <a:graphicData uri="http://schemas.openxmlformats.org/drawingml/2006/picture">
                <pic:pic>
                  <pic:nvPicPr>
                    <pic:cNvPr descr="Descripción: https://cfl.dropboxstatic.com/static/images/icons/icon_spacer-vflN3BYt2.g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VISTO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sz w:val="22"/>
          <w:szCs w:val="22"/>
          <w:vertAlign w:val="baseline"/>
        </w:rPr>
        <w:drawing>
          <wp:inline distB="0" distT="0" distL="114300" distR="114300">
            <wp:extent cx="152400" cy="152400"/>
            <wp:effectExtent b="0" l="0" r="0" t="0"/>
            <wp:docPr descr="Descripción: https://cfl.dropboxstatic.com/static/images/icons/icon_spacer-vflN3BYt2.gif" id="2" name="image1.png"/>
            <a:graphic>
              <a:graphicData uri="http://schemas.openxmlformats.org/drawingml/2006/picture">
                <pic:pic>
                  <pic:nvPicPr>
                    <pic:cNvPr descr="Descripción: https://cfl.dropboxstatic.com/static/images/icons/icon_spacer-vflN3BYt2.g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1000" w:firstLine="720"/>
        <w:contextualSpacing w:val="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rtl w:val="0"/>
        </w:rPr>
        <w:t xml:space="preserve">La Ley Orgánica de Municipalidades N°</w:t>
      </w:r>
      <w:r w:rsidDel="00000000" w:rsidR="00000000" w:rsidRPr="00000000">
        <w:rPr>
          <w:color w:val="222222"/>
          <w:sz w:val="22"/>
          <w:szCs w:val="22"/>
          <w:vertAlign w:val="superscript"/>
          <w:rtl w:val="0"/>
        </w:rPr>
        <w:t xml:space="preserve">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2.756,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right="1000" w:firstLine="720"/>
        <w:contextualSpacing w:val="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rtl w:val="0"/>
        </w:rPr>
        <w:t xml:space="preserve">La Ordenanza N° 1.895/10 "Monumento y placa homenaje a Ramón Merlo", y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contextualSpacing w:val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CONSIDERANDO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right="-102.99212598425072" w:firstLine="720"/>
        <w:contextualSpacing w:val="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rtl w:val="0"/>
        </w:rPr>
        <w:t xml:space="preserve">Que el 22 de Abril de 2010 se aprobó la Ordenanza que establecía que se debía construir un Monumento con su respectiva placa en homenaje a la figura de Ramón Merlo.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right="-102.99212598425072" w:firstLine="720"/>
        <w:contextualSpacing w:val="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rtl w:val="0"/>
        </w:rPr>
        <w:t xml:space="preserve">Que dicho monumento estaría ubicado en las calles Buenamesson e Italia, donde funcionaba el recordado baile "El Cañonazo", y actualmente se encuentra la Plaza Nuestra Señora de la Paz.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right="-102.99212598425072" w:firstLine="720"/>
        <w:contextualSpacing w:val="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rtl w:val="0"/>
        </w:rPr>
        <w:t xml:space="preserve">Que a la fecha no se ha avanzado en la concreción de este homenaje y es necesario reivindicar la figura de quien vivió desde muy joven en Pueblo Nuevo, para luego trascender como músico grabando más de 60 discos.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right="-149.5275590551165" w:firstLine="720"/>
        <w:contextualSpacing w:val="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rtl w:val="0"/>
        </w:rPr>
        <w:t xml:space="preserve">Que como se menciona en la Ordenanza ya aprobada "desde muy pequeño consagró su vida al mundo de la música litoraleña destacándose a lo largo de todo el país corno acordeonista, compositor, intérprete, actor y productor" y que "fue merecedor de reconocimientos como el brindado por el Congreso de la Nación el 2 de octubre de 1998, o la declaración de Artista Distinguido por el Concejo Municipal de Rosario, o la declaración de Huésped de Honor de la ciudad de La Paz, Provincia de Entre Ríos".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right="-102.99212598425072" w:firstLine="720"/>
        <w:contextualSpacing w:val="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rtl w:val="0"/>
        </w:rPr>
        <w:t xml:space="preserve">Que este Concejo viene trabajando para darle mayor impulso a reconocimiento al género chamamé. Tal es así que, a través de la Declaración N° 205/2010, el chamamé fue declarado como parte integrante del Patrimonio Cultural de la ciudad y a través de la Ordenanza 2155/13 un espacio verde de nuestra ciudad lleva como nombre "Plaza del Chamamé".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todo ello, el Concejo Deliberante en uso de sus atribuciones aprueba el siguiente: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contextualSpacing w:val="0"/>
        <w:jc w:val="both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center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DECRETO Nº 1207/2018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right="-102.99212598425072"/>
        <w:contextualSpacing w:val="0"/>
        <w:jc w:val="both"/>
        <w:rPr>
          <w:color w:val="222222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ART.1º)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Dispóngase la colocación de una placa conmemorativa en la Plaza Nuestra Señora de la Paz en honor al legado artístico, cultural y social del Señor Ramón Merlo.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ART.2º)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Comuníquese, Publíquese, y Regístrese.</w:t>
      </w:r>
    </w:p>
    <w:p w:rsidR="00000000" w:rsidDel="00000000" w:rsidP="00000000" w:rsidRDefault="00000000" w:rsidRPr="00000000" w14:paraId="00000012">
      <w:pPr>
        <w:spacing w:line="360" w:lineRule="auto"/>
        <w:contextualSpacing w:val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11 de octubre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20160" w:w="12240"/>
      <w:pgMar w:bottom="1133.8582677165355" w:top="2664.566929133858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