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Expte. Nº 6.66</w:t>
      </w:r>
      <w:r w:rsidDel="00000000" w:rsidR="00000000" w:rsidRPr="00000000">
        <w:rPr>
          <w:sz w:val="22"/>
          <w:szCs w:val="22"/>
          <w:rtl w:val="0"/>
        </w:rPr>
        <w:t xml:space="preserve">6/</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18. </w:t>
      </w:r>
    </w:p>
    <w:p w:rsidR="00000000" w:rsidDel="00000000" w:rsidP="00000000" w:rsidRDefault="00000000" w:rsidRPr="00000000" w14:paraId="00000001">
      <w:pPr>
        <w:widowControl w:val="0"/>
        <w:spacing w:after="0" w:line="360" w:lineRule="auto"/>
        <w:contextualSpacing w:val="0"/>
        <w:jc w:val="both"/>
        <w:rPr>
          <w:b w:val="1"/>
          <w:sz w:val="22"/>
          <w:szCs w:val="22"/>
          <w:u w:val="single"/>
        </w:rPr>
      </w:pPr>
      <w:r w:rsidDel="00000000" w:rsidR="00000000" w:rsidRPr="00000000">
        <w:rPr>
          <w:b w:val="1"/>
          <w:sz w:val="22"/>
          <w:szCs w:val="22"/>
          <w:u w:val="single"/>
          <w:rtl w:val="0"/>
        </w:rPr>
        <w:t xml:space="preserve">VISTO:</w:t>
      </w:r>
    </w:p>
    <w:p w:rsidR="00000000" w:rsidDel="00000000" w:rsidP="00000000" w:rsidRDefault="00000000" w:rsidRPr="00000000" w14:paraId="00000002">
      <w:pPr>
        <w:widowControl w:val="0"/>
        <w:spacing w:after="0" w:line="360" w:lineRule="auto"/>
        <w:ind w:left="720" w:firstLine="4.80000000000004"/>
        <w:contextualSpacing w:val="0"/>
        <w:jc w:val="both"/>
        <w:rPr>
          <w:sz w:val="22"/>
          <w:szCs w:val="22"/>
        </w:rPr>
      </w:pPr>
      <w:r w:rsidDel="00000000" w:rsidR="00000000" w:rsidRPr="00000000">
        <w:rPr>
          <w:sz w:val="22"/>
          <w:szCs w:val="22"/>
          <w:rtl w:val="0"/>
        </w:rPr>
        <w:t xml:space="preserve">La Ley Orgánica de Municipalidades N° 2756,</w:t>
      </w:r>
    </w:p>
    <w:p w:rsidR="00000000" w:rsidDel="00000000" w:rsidP="00000000" w:rsidRDefault="00000000" w:rsidRPr="00000000" w14:paraId="00000003">
      <w:pPr>
        <w:widowControl w:val="0"/>
        <w:spacing w:after="0" w:line="360" w:lineRule="auto"/>
        <w:ind w:left="720" w:firstLine="4.80000000000004"/>
        <w:contextualSpacing w:val="0"/>
        <w:jc w:val="both"/>
        <w:rPr>
          <w:sz w:val="22"/>
          <w:szCs w:val="22"/>
        </w:rPr>
      </w:pPr>
      <w:r w:rsidDel="00000000" w:rsidR="00000000" w:rsidRPr="00000000">
        <w:rPr>
          <w:sz w:val="22"/>
          <w:szCs w:val="22"/>
          <w:rtl w:val="0"/>
        </w:rPr>
        <w:t xml:space="preserve">Los Decretos N° 677/14, 813/15, 859/16, 958/17, 1044/17, 1094/18, 1155/18,</w:t>
      </w:r>
    </w:p>
    <w:p w:rsidR="00000000" w:rsidDel="00000000" w:rsidP="00000000" w:rsidRDefault="00000000" w:rsidRPr="00000000" w14:paraId="00000004">
      <w:pPr>
        <w:widowControl w:val="0"/>
        <w:spacing w:after="0" w:line="360" w:lineRule="auto"/>
        <w:ind w:firstLine="720"/>
        <w:contextualSpacing w:val="0"/>
        <w:jc w:val="both"/>
        <w:rPr>
          <w:sz w:val="22"/>
          <w:szCs w:val="22"/>
        </w:rPr>
      </w:pPr>
      <w:r w:rsidDel="00000000" w:rsidR="00000000" w:rsidRPr="00000000">
        <w:rPr>
          <w:sz w:val="22"/>
          <w:szCs w:val="22"/>
          <w:rtl w:val="0"/>
        </w:rPr>
        <w:t xml:space="preserve">El reclamo de los vecinos, y</w:t>
      </w:r>
    </w:p>
    <w:p w:rsidR="00000000" w:rsidDel="00000000" w:rsidP="00000000" w:rsidRDefault="00000000" w:rsidRPr="00000000" w14:paraId="00000005">
      <w:pPr>
        <w:widowControl w:val="0"/>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06">
      <w:pPr>
        <w:widowControl w:val="0"/>
        <w:spacing w:after="0" w:line="360" w:lineRule="auto"/>
        <w:contextualSpacing w:val="0"/>
        <w:jc w:val="both"/>
        <w:rPr>
          <w:b w:val="1"/>
          <w:sz w:val="22"/>
          <w:szCs w:val="22"/>
          <w:u w:val="single"/>
        </w:rPr>
      </w:pPr>
      <w:r w:rsidDel="00000000" w:rsidR="00000000" w:rsidRPr="00000000">
        <w:rPr>
          <w:b w:val="1"/>
          <w:sz w:val="22"/>
          <w:szCs w:val="22"/>
          <w:u w:val="single"/>
          <w:rtl w:val="0"/>
        </w:rPr>
        <w:t xml:space="preserve">CONSIDERANDO:</w:t>
      </w:r>
    </w:p>
    <w:p w:rsidR="00000000" w:rsidDel="00000000" w:rsidP="00000000" w:rsidRDefault="00000000" w:rsidRPr="00000000" w14:paraId="00000007">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en toda la ciudad muchas plazas públicas tienen algún juego infantil dañado, siendo la mayoría de los juegos rotos las hamacas.</w:t>
      </w:r>
    </w:p>
    <w:p w:rsidR="00000000" w:rsidDel="00000000" w:rsidP="00000000" w:rsidRDefault="00000000" w:rsidRPr="00000000" w14:paraId="00000008">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la Municipalidad debe realizar un relevamiento cotidiano del estado de los juegos y asegurar que cada vez que se detecten daños, sean reparados.</w:t>
      </w:r>
    </w:p>
    <w:p w:rsidR="00000000" w:rsidDel="00000000" w:rsidP="00000000" w:rsidRDefault="00000000" w:rsidRPr="00000000" w14:paraId="00000009">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con el objetivo de mantener la seguridad e higiene de los juegos infantiles en plazas de la ciudad, es necesario realizar labores de rastrillaje en la zona de juegos, lo que permite eliminar eventuales cuerpos extraños y de peligro.</w:t>
      </w:r>
    </w:p>
    <w:p w:rsidR="00000000" w:rsidDel="00000000" w:rsidP="00000000" w:rsidRDefault="00000000" w:rsidRPr="00000000" w14:paraId="0000000A">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en primer lugar, los juegos no deben contar con bordes ásperos, ni filosos que presenten riesgos para el niño. En aquellos juegos donde puedan ocurrir caídas las superficies deben ser blandas y capaces de amortiguar impactos. Además, los equipos de juego deberán estar dispuestos de forma tal que reduzcan la interferencia entre los usuarios de los distintos aparatos. </w:t>
      </w:r>
    </w:p>
    <w:p w:rsidR="00000000" w:rsidDel="00000000" w:rsidP="00000000" w:rsidRDefault="00000000" w:rsidRPr="00000000" w14:paraId="0000000B">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es de suma necesidad que el Departamento Ejecutivo  Municipal realice los controles pertinentes para evitar siniestros que ponen en riesgo la integridad física de los niños que utilizan los juegos.</w:t>
      </w:r>
    </w:p>
    <w:p w:rsidR="00000000" w:rsidDel="00000000" w:rsidP="00000000" w:rsidRDefault="00000000" w:rsidRPr="00000000" w14:paraId="0000000C">
      <w:pPr>
        <w:shd w:fill="ffffff" w:val="clear"/>
        <w:spacing w:after="0" w:line="360" w:lineRule="auto"/>
        <w:ind w:right="20" w:firstLine="720"/>
        <w:contextualSpacing w:val="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Por todo ello, el Concejo Deliberante en uso de sus atribuciones aprueba el siguiente:</w:t>
      </w:r>
    </w:p>
    <w:p w:rsidR="00000000" w:rsidDel="00000000" w:rsidP="00000000" w:rsidRDefault="00000000" w:rsidRPr="00000000" w14:paraId="0000000D">
      <w:pPr>
        <w:spacing w:after="0" w:line="360" w:lineRule="auto"/>
        <w:ind w:firstLine="708"/>
        <w:contextualSpacing w:val="0"/>
        <w:jc w:val="both"/>
        <w:rPr>
          <w:b w:val="0"/>
          <w:sz w:val="22"/>
          <w:szCs w:val="22"/>
          <w:u w:val="single"/>
          <w:vertAlign w:val="baseline"/>
        </w:rPr>
      </w:pPr>
      <w:r w:rsidDel="00000000" w:rsidR="00000000" w:rsidRPr="00000000">
        <w:rPr>
          <w:rtl w:val="0"/>
        </w:rPr>
      </w:r>
    </w:p>
    <w:p w:rsidR="00000000" w:rsidDel="00000000" w:rsidP="00000000" w:rsidRDefault="00000000" w:rsidRPr="00000000" w14:paraId="0000000E">
      <w:pPr>
        <w:spacing w:after="0" w:line="360" w:lineRule="auto"/>
        <w:contextualSpacing w:val="0"/>
        <w:jc w:val="center"/>
        <w:rPr>
          <w:b w:val="0"/>
          <w:sz w:val="28"/>
          <w:szCs w:val="28"/>
          <w:u w:val="single"/>
          <w:vertAlign w:val="baseline"/>
        </w:rPr>
      </w:pPr>
      <w:r w:rsidDel="00000000" w:rsidR="00000000" w:rsidRPr="00000000">
        <w:rPr>
          <w:b w:val="1"/>
          <w:sz w:val="28"/>
          <w:szCs w:val="28"/>
          <w:u w:val="single"/>
          <w:vertAlign w:val="baseline"/>
          <w:rtl w:val="0"/>
        </w:rPr>
        <w:t xml:space="preserve">DECRETO Nº 1.21</w:t>
      </w:r>
      <w:r w:rsidDel="00000000" w:rsidR="00000000" w:rsidRPr="00000000">
        <w:rPr>
          <w:b w:val="1"/>
          <w:sz w:val="28"/>
          <w:szCs w:val="28"/>
          <w:u w:val="single"/>
          <w:rtl w:val="0"/>
        </w:rPr>
        <w:t xml:space="preserve">9/</w:t>
      </w:r>
      <w:r w:rsidDel="00000000" w:rsidR="00000000" w:rsidRPr="00000000">
        <w:rPr>
          <w:b w:val="1"/>
          <w:sz w:val="28"/>
          <w:szCs w:val="28"/>
          <w:u w:val="single"/>
          <w:vertAlign w:val="baseline"/>
          <w:rtl w:val="0"/>
        </w:rPr>
        <w:t xml:space="preserve">2018</w:t>
      </w:r>
      <w:r w:rsidDel="00000000" w:rsidR="00000000" w:rsidRPr="00000000">
        <w:rPr>
          <w:rtl w:val="0"/>
        </w:rPr>
      </w:r>
    </w:p>
    <w:p w:rsidR="00000000" w:rsidDel="00000000" w:rsidP="00000000" w:rsidRDefault="00000000" w:rsidRPr="00000000" w14:paraId="0000000F">
      <w:pPr>
        <w:shd w:fill="ffffff" w:val="clear"/>
        <w:spacing w:after="0" w:line="360" w:lineRule="auto"/>
        <w:contextualSpacing w:val="0"/>
        <w:jc w:val="both"/>
        <w:rPr>
          <w:sz w:val="22"/>
          <w:szCs w:val="22"/>
          <w:vertAlign w:val="baseline"/>
        </w:rPr>
      </w:pPr>
      <w:r w:rsidDel="00000000" w:rsidR="00000000" w:rsidRPr="00000000">
        <w:rPr>
          <w:rtl w:val="0"/>
        </w:rPr>
      </w:r>
    </w:p>
    <w:p w:rsidR="00000000" w:rsidDel="00000000" w:rsidP="00000000" w:rsidRDefault="00000000" w:rsidRPr="00000000" w14:paraId="00000010">
      <w:pPr>
        <w:widowControl w:val="0"/>
        <w:spacing w:after="0" w:line="360" w:lineRule="auto"/>
        <w:contextualSpacing w:val="0"/>
        <w:jc w:val="both"/>
        <w:rPr>
          <w:sz w:val="22"/>
          <w:szCs w:val="22"/>
        </w:rPr>
      </w:pPr>
      <w:r w:rsidDel="00000000" w:rsidR="00000000" w:rsidRPr="00000000">
        <w:rPr>
          <w:b w:val="1"/>
          <w:sz w:val="22"/>
          <w:szCs w:val="22"/>
          <w:rtl w:val="0"/>
        </w:rPr>
        <w:t xml:space="preserve">ART.1°)</w:t>
      </w:r>
      <w:r w:rsidDel="00000000" w:rsidR="00000000" w:rsidRPr="00000000">
        <w:rPr>
          <w:sz w:val="22"/>
          <w:szCs w:val="22"/>
          <w:rtl w:val="0"/>
        </w:rPr>
        <w:t xml:space="preserve"> El Concejo Deliberante se dirige al Departamento Ejecutivo Municipal para que a través de la Secretaría de Obras y Servicios Públicos proceda a realizar las tareas pertinentes al acondicionamiento, reparación y mantenimiento de todos los juegos recreativos para niños ubicados en las plazas de la ciudad.</w:t>
      </w:r>
    </w:p>
    <w:p w:rsidR="00000000" w:rsidDel="00000000" w:rsidP="00000000" w:rsidRDefault="00000000" w:rsidRPr="00000000" w14:paraId="00000011">
      <w:pPr>
        <w:shd w:fill="ffffff" w:val="clear"/>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12">
      <w:pPr>
        <w:shd w:fill="ffffff" w:val="clear"/>
        <w:spacing w:after="0" w:line="360" w:lineRule="auto"/>
        <w:contextualSpacing w:val="0"/>
        <w:jc w:val="both"/>
        <w:rPr>
          <w:sz w:val="22"/>
          <w:szCs w:val="22"/>
          <w:vertAlign w:val="baseline"/>
        </w:rPr>
      </w:pPr>
      <w:r w:rsidDel="00000000" w:rsidR="00000000" w:rsidRPr="00000000">
        <w:rPr>
          <w:b w:val="1"/>
          <w:sz w:val="22"/>
          <w:szCs w:val="22"/>
          <w:vertAlign w:val="baseline"/>
          <w:rtl w:val="0"/>
        </w:rPr>
        <w:t xml:space="preserve">ART.3º)</w:t>
      </w:r>
      <w:r w:rsidDel="00000000" w:rsidR="00000000" w:rsidRPr="00000000">
        <w:rPr>
          <w:sz w:val="22"/>
          <w:szCs w:val="22"/>
          <w:vertAlign w:val="baseline"/>
          <w:rtl w:val="0"/>
        </w:rPr>
        <w:t xml:space="preserve">  Comuníquese, Publíquese, y Regístrese.</w:t>
      </w:r>
    </w:p>
    <w:p w:rsidR="00000000" w:rsidDel="00000000" w:rsidP="00000000" w:rsidRDefault="00000000" w:rsidRPr="00000000" w14:paraId="00000013">
      <w:pPr>
        <w:spacing w:after="0" w:line="360" w:lineRule="auto"/>
        <w:contextualSpacing w:val="0"/>
        <w:jc w:val="both"/>
        <w:rPr>
          <w:b w:val="0"/>
          <w:sz w:val="22"/>
          <w:szCs w:val="22"/>
          <w:vertAlign w:val="baseline"/>
        </w:rPr>
      </w:pPr>
      <w:r w:rsidDel="00000000" w:rsidR="00000000" w:rsidRPr="00000000">
        <w:rPr>
          <w:sz w:val="22"/>
          <w:szCs w:val="22"/>
          <w:vertAlign w:val="baseline"/>
          <w:rtl w:val="0"/>
        </w:rPr>
        <w:t xml:space="preserve">Dado en Sala de Sesiones del Concejo Deliberante, 1 de noviembre de 2018.</w:t>
      </w:r>
      <w:r w:rsidDel="00000000" w:rsidR="00000000" w:rsidRPr="00000000">
        <w:rPr>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14">
      <w:pPr>
        <w:shd w:fill="ffffff" w:val="clear"/>
        <w:spacing w:line="360" w:lineRule="auto"/>
        <w:contextualSpacing w:val="0"/>
        <w:jc w:val="both"/>
        <w:rPr>
          <w:sz w:val="22"/>
          <w:szCs w:val="22"/>
          <w:vertAlign w:val="baseline"/>
        </w:rPr>
      </w:pPr>
      <w:r w:rsidDel="00000000" w:rsidR="00000000" w:rsidRPr="00000000">
        <w:rPr>
          <w:rtl w:val="0"/>
        </w:rPr>
      </w:r>
    </w:p>
    <w:sectPr>
      <w:headerReference r:id="rId6" w:type="default"/>
      <w:headerReference r:id="rId7" w:type="first"/>
      <w:headerReference r:id="rId8" w:type="even"/>
      <w:footerReference r:id="rId9" w:type="first"/>
      <w:pgSz w:h="20160" w:w="12240"/>
      <w:pgMar w:bottom="1133.8582677165355" w:top="2664.566929133858"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