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Expte. Nº 6.65</w:t>
      </w:r>
      <w:r w:rsidDel="00000000" w:rsidR="00000000" w:rsidRPr="00000000">
        <w:rPr>
          <w:sz w:val="22"/>
          <w:szCs w:val="22"/>
          <w:rtl w:val="0"/>
        </w:rPr>
        <w:t xml:space="preserve">8/1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</w:t>
      </w:r>
    </w:p>
    <w:p w:rsidR="00000000" w:rsidDel="00000000" w:rsidP="00000000" w:rsidRDefault="00000000" w:rsidRPr="00000000" w14:paraId="00000001">
      <w:pPr>
        <w:spacing w:after="0" w:line="360" w:lineRule="auto"/>
        <w:contextualSpacing w:val="0"/>
        <w:jc w:val="both"/>
        <w:rPr>
          <w:b w:val="1"/>
          <w:color w:val="292900"/>
          <w:sz w:val="22"/>
          <w:szCs w:val="22"/>
          <w:u w:val="single"/>
        </w:rPr>
      </w:pPr>
      <w:r w:rsidDel="00000000" w:rsidR="00000000" w:rsidRPr="00000000">
        <w:rPr>
          <w:b w:val="1"/>
          <w:color w:val="292900"/>
          <w:sz w:val="22"/>
          <w:szCs w:val="22"/>
          <w:u w:val="single"/>
          <w:rtl w:val="0"/>
        </w:rPr>
        <w:t xml:space="preserve">VISTO:</w:t>
      </w:r>
    </w:p>
    <w:p w:rsidR="00000000" w:rsidDel="00000000" w:rsidP="00000000" w:rsidRDefault="00000000" w:rsidRPr="00000000" w14:paraId="00000002">
      <w:pPr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Ley Orgánica de Municipalidades N° 2756.</w:t>
      </w:r>
    </w:p>
    <w:p w:rsidR="00000000" w:rsidDel="00000000" w:rsidP="00000000" w:rsidRDefault="00000000" w:rsidRPr="00000000" w14:paraId="00000003">
      <w:pPr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reclamo de los vecinos, y</w:t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jc w:val="both"/>
        <w:rPr>
          <w:b w:val="1"/>
          <w:color w:val="2929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contextualSpacing w:val="0"/>
        <w:jc w:val="both"/>
        <w:rPr>
          <w:b w:val="1"/>
          <w:color w:val="292900"/>
          <w:sz w:val="22"/>
          <w:szCs w:val="22"/>
          <w:u w:val="single"/>
        </w:rPr>
      </w:pPr>
      <w:r w:rsidDel="00000000" w:rsidR="00000000" w:rsidRPr="00000000">
        <w:rPr>
          <w:b w:val="1"/>
          <w:color w:val="292900"/>
          <w:sz w:val="22"/>
          <w:szCs w:val="22"/>
          <w:u w:val="single"/>
          <w:rtl w:val="0"/>
        </w:rPr>
        <w:t xml:space="preserve">CONSIDERANDO:</w:t>
      </w:r>
    </w:p>
    <w:p w:rsidR="00000000" w:rsidDel="00000000" w:rsidP="00000000" w:rsidRDefault="00000000" w:rsidRPr="00000000" w14:paraId="00000006">
      <w:pPr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en calle Monte Caseros en el sector comprendido entre calles Pellegrini y Pasaje Capuchino la iluminación no es suficiente debido a la rotura de focos, razón por la cual los vecinos reclaman la reposición de las mismas.</w:t>
      </w:r>
    </w:p>
    <w:p w:rsidR="00000000" w:rsidDel="00000000" w:rsidP="00000000" w:rsidRDefault="00000000" w:rsidRPr="00000000" w14:paraId="00000007">
      <w:pPr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en el barrio funciona la Escuela de Enseñanza Media N° 516 la Subcomisaría 26 y el Centro Municipal Nahuel Huapi.</w:t>
      </w:r>
    </w:p>
    <w:p w:rsidR="00000000" w:rsidDel="00000000" w:rsidP="00000000" w:rsidRDefault="00000000" w:rsidRPr="00000000" w14:paraId="00000008">
      <w:pPr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la Municipalidad de Villa Gobernador Gálvez realizó las obras de mejoramiento de entornos escolares en la Escuela N° 516 a través del Fondo de Financiamiento Educativo de la Provincia de Santa Fe restando solamente tan importante intervención del estado mejorar la iluminación del sector.</w:t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MINUTA DE COMUNICACION Nº 2.139/2018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</w:t>
      </w:r>
      <w:r w:rsidDel="00000000" w:rsidR="00000000" w:rsidRPr="00000000">
        <w:rPr>
          <w:sz w:val="22"/>
          <w:szCs w:val="22"/>
          <w:rtl w:val="0"/>
        </w:rPr>
        <w:t xml:space="preserve">El Concejo Deliberante se dirige al Departamento Ejecutivo Municipal, para que solicite al Concesionario del Servicio Eléctrico y de alumbrado público la reparación y/o reposición de las luminarias de calle Monte Caseros entre calles Pellegrini y Pasaje Capuchinos.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ART.2º)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1 de noviembre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contextualSpacing w:val="0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133.8582677165355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