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360" w:lineRule="auto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Expte. Nº 6.646/18.</w:t>
      </w:r>
    </w:p>
    <w:p w:rsidR="00000000" w:rsidDel="00000000" w:rsidP="00000000" w:rsidRDefault="00000000" w:rsidRPr="00000000" w14:paraId="00000001">
      <w:pPr>
        <w:widowControl w:val="0"/>
        <w:spacing w:line="360" w:lineRule="auto"/>
        <w:contextualSpacing w:val="0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VISTO: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 Código Tributario Municipal Ordenanza N° 1.415/1999 y sus Ordenanzas complementarias, Artículos 32° y 109°, donde se dispone que pueden establecerse regímenes de retención en concepto de Derecho de Registro e Inspección respecto de los Proveedores que vendan bienes o presten servicios al Municipio y Entes Autárquicos Municipales, y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contextualSpacing w:val="0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contextualSpacing w:val="0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CONSIDERANDO: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es necesario establecer nuevas pautas a fin de dar cumplimiento al Régimen de Retención.</w:t>
      </w:r>
    </w:p>
    <w:p w:rsidR="00000000" w:rsidDel="00000000" w:rsidP="00000000" w:rsidRDefault="00000000" w:rsidRPr="00000000" w14:paraId="00000006">
      <w:pPr>
        <w:widowControl w:val="0"/>
        <w:spacing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Que, en virtud del marco referenciado resulta oportuno establecer las modalidades de implementación de un régimen de retención con relación a los pagos que se efectúen a los concesionarios, contratistas y proveedores por parte del Estado Municipal, mediante la intervención de la Tesorería Municipal y del Concejo Deliberante.</w:t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atento a las dificultades acaecidas para implementar correctamente el sistema de retención de pagos, deriva pertinente adecuar el texto de las Ordenanzas N° 2.533/2.018 y N° 2.549/2.018.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resulta necesario actualizar y adecuar las herramientas con las que cuenta el Municipio para disminuir el grado de evasión fiscal y asegurar así el ingreso de los fondos que resultan necesarios para sostener el funcionamiento de los servicios involucrados en su accionar, asegurando el aumento de la recaudación y facilitando el correcto cumplimiento de las obligaciones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Por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todo ello, el Concejo Deliberante en uso de sus atribuciones aprueba la siguiente:</w:t>
      </w:r>
    </w:p>
    <w:p w:rsidR="00000000" w:rsidDel="00000000" w:rsidP="00000000" w:rsidRDefault="00000000" w:rsidRPr="00000000" w14:paraId="0000000A">
      <w:pPr>
        <w:spacing w:after="0" w:line="360" w:lineRule="auto"/>
        <w:contextualSpacing w:val="0"/>
        <w:jc w:val="center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contextualSpacing w:val="0"/>
        <w:jc w:val="center"/>
        <w:rPr>
          <w:b w:val="1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ORDENANZA Nº 2.5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62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/2018</w:t>
      </w:r>
    </w:p>
    <w:p w:rsidR="00000000" w:rsidDel="00000000" w:rsidP="00000000" w:rsidRDefault="00000000" w:rsidRPr="00000000" w14:paraId="0000000C">
      <w:pPr>
        <w:spacing w:after="0" w:line="360" w:lineRule="auto"/>
        <w:contextualSpacing w:val="0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ART.1°)</w:t>
      </w:r>
      <w:r w:rsidDel="00000000" w:rsidR="00000000" w:rsidRPr="00000000">
        <w:rPr>
          <w:sz w:val="22"/>
          <w:szCs w:val="22"/>
          <w:rtl w:val="0"/>
        </w:rPr>
        <w:t xml:space="preserve">  Establécese un Régimen de Retención de Derecho de Registro e Inspección respecto de los pagos originados en comprobantes fiscales respaldatorios que se efectúen a los concesionarios, contratistas y proveedores de la Municipalidad de Villa Gobernador Gálvez y del Concejo Deliberante, cuyo domicilio fiscal y/o comercial (asociado al punto de facturación) se encuentre dentro del ejido municipal, a partir de la entrada en vigencia de la presente. Para tal fin actuarán como Agentes de Retención la Tesorería Municipal y el Concejo Deliberante.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firstLine="9.6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ART.2°)</w:t>
      </w:r>
      <w:r w:rsidDel="00000000" w:rsidR="00000000" w:rsidRPr="00000000">
        <w:rPr>
          <w:sz w:val="22"/>
          <w:szCs w:val="22"/>
          <w:rtl w:val="0"/>
        </w:rPr>
        <w:t xml:space="preserve"> Se encuentran alcanzadas por el presente régimen las operaciones en las cuales se verifiquen las siguientes circunstancias: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425.19685039370086" w:firstLine="3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Respecto de la adquisición de las cosas muebles que realice el Estado Municipal.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425.19685039370086" w:firstLine="3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Respecto de locaciones de cosas, obras y/o prestaciones de servicios, que efectúe el Estado Municipal.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firstLine="24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ART.3°)</w:t>
      </w:r>
      <w:r w:rsidDel="00000000" w:rsidR="00000000" w:rsidRPr="00000000">
        <w:rPr>
          <w:sz w:val="22"/>
          <w:szCs w:val="22"/>
          <w:rtl w:val="0"/>
        </w:rPr>
        <w:t xml:space="preserve"> A los fines de liquidar la retención el agente deberá constatar si el contribuyente se encuentra o no inscripto en el Derecho de Registro e Inspección y en caso de estarlo, a su vez, verificar que los conceptos detallados en el comprobante fiscal respaldatorio reflejen actividades incluidas en su inscripción municipal.</w:t>
      </w:r>
    </w:p>
    <w:p w:rsidR="00000000" w:rsidDel="00000000" w:rsidP="00000000" w:rsidRDefault="00000000" w:rsidRPr="00000000" w14:paraId="00000014">
      <w:pPr>
        <w:widowControl w:val="0"/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Para establecer la alícuota aplicable a cada operación a pagar sujeta al presente Régimen, se clasificará a las mismas en una de las categorías que se presentan a continuación, tomando en consideración si han cumplimentado su inscripción:</w:t>
      </w:r>
    </w:p>
    <w:p w:rsidR="00000000" w:rsidDel="00000000" w:rsidP="00000000" w:rsidRDefault="00000000" w:rsidRPr="00000000" w14:paraId="00000015">
      <w:pPr>
        <w:widowControl w:val="0"/>
        <w:spacing w:line="360" w:lineRule="auto"/>
        <w:ind w:left="425.19685039370086" w:firstLine="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Inscripto en Derecho de Registro e Inspección                                                             4%o (cuatro por mil) </w:t>
      </w:r>
    </w:p>
    <w:p w:rsidR="00000000" w:rsidDel="00000000" w:rsidP="00000000" w:rsidRDefault="00000000" w:rsidRPr="00000000" w14:paraId="00000016">
      <w:pPr>
        <w:widowControl w:val="0"/>
        <w:spacing w:line="360" w:lineRule="auto"/>
        <w:ind w:left="425.19685039370086" w:firstLine="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(la actividad a pagar se encuentra incluida en la inscripción)</w:t>
      </w:r>
    </w:p>
    <w:p w:rsidR="00000000" w:rsidDel="00000000" w:rsidP="00000000" w:rsidRDefault="00000000" w:rsidRPr="00000000" w14:paraId="00000017">
      <w:pPr>
        <w:widowControl w:val="0"/>
        <w:spacing w:line="360" w:lineRule="auto"/>
        <w:ind w:left="425.19685039370086" w:firstLine="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b) Inscripto en Derecho de Registro e Inspección                                                            8%o (ocho por mil) </w:t>
      </w:r>
    </w:p>
    <w:p w:rsidR="00000000" w:rsidDel="00000000" w:rsidP="00000000" w:rsidRDefault="00000000" w:rsidRPr="00000000" w14:paraId="00000018">
      <w:pPr>
        <w:widowControl w:val="0"/>
        <w:spacing w:line="360" w:lineRule="auto"/>
        <w:ind w:left="425.19685039370086" w:firstLine="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(la actividad a pagar no se encuentra incluida en la inscripción) </w:t>
      </w:r>
    </w:p>
    <w:p w:rsidR="00000000" w:rsidDel="00000000" w:rsidP="00000000" w:rsidRDefault="00000000" w:rsidRPr="00000000" w14:paraId="00000019">
      <w:pPr>
        <w:widowControl w:val="0"/>
        <w:spacing w:line="360" w:lineRule="auto"/>
        <w:ind w:left="425.19685039370086" w:firstLine="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No Inscripto en Derecho de Registro e Inspección                                                        8%o (ocho por mil)</w:t>
      </w:r>
    </w:p>
    <w:p w:rsidR="00000000" w:rsidDel="00000000" w:rsidP="00000000" w:rsidRDefault="00000000" w:rsidRPr="00000000" w14:paraId="0000001A">
      <w:pPr>
        <w:widowControl w:val="0"/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ART.4°)</w:t>
      </w:r>
      <w:r w:rsidDel="00000000" w:rsidR="00000000" w:rsidRPr="00000000">
        <w:rPr>
          <w:sz w:val="22"/>
          <w:szCs w:val="22"/>
          <w:rtl w:val="0"/>
        </w:rPr>
        <w:t xml:space="preserve"> Las operaciones alcanzadas por el Régimen de Retención estarán gravadas por la alícuota que corresponda, acorde al artículo 3°, sobre base imponible establecida en el Código Tributario y la Ordenanza Tributaria en vigencia.</w:t>
      </w:r>
    </w:p>
    <w:p w:rsidR="00000000" w:rsidDel="00000000" w:rsidP="00000000" w:rsidRDefault="00000000" w:rsidRPr="00000000" w14:paraId="0000001C">
      <w:pPr>
        <w:widowControl w:val="0"/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ART.5°)</w:t>
      </w:r>
      <w:r w:rsidDel="00000000" w:rsidR="00000000" w:rsidRPr="00000000">
        <w:rPr>
          <w:sz w:val="22"/>
          <w:szCs w:val="22"/>
          <w:rtl w:val="0"/>
        </w:rPr>
        <w:t xml:space="preserve">  Las retenciones deberán efectuarse en el momento del pago, sea total o parcial, y sobre el mismo. A estos efectos queda excluido del Régimen de Retención:</w:t>
      </w:r>
    </w:p>
    <w:p w:rsidR="00000000" w:rsidDel="00000000" w:rsidP="00000000" w:rsidRDefault="00000000" w:rsidRPr="00000000" w14:paraId="0000001E">
      <w:pPr>
        <w:widowControl w:val="0"/>
        <w:spacing w:line="360" w:lineRule="auto"/>
        <w:ind w:left="425.19685039370086" w:firstLine="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El pago a realizar a Proveedores cuya cancelación se haga fuera de las dependencias municipales, en efectivo o mediante cheque, en entidades de cobro, ajenas al mismo proveedor, sean estas bancarias o no. </w:t>
      </w:r>
    </w:p>
    <w:p w:rsidR="00000000" w:rsidDel="00000000" w:rsidP="00000000" w:rsidRDefault="00000000" w:rsidRPr="00000000" w14:paraId="0000001F">
      <w:pPr>
        <w:widowControl w:val="0"/>
        <w:spacing w:line="360" w:lineRule="auto"/>
        <w:ind w:left="425.19685039370086" w:firstLine="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Las operaciones abonadas mediante de Fondo Fijo.</w:t>
      </w:r>
    </w:p>
    <w:p w:rsidR="00000000" w:rsidDel="00000000" w:rsidP="00000000" w:rsidRDefault="00000000" w:rsidRPr="00000000" w14:paraId="00000020">
      <w:pPr>
        <w:widowControl w:val="0"/>
        <w:spacing w:line="360" w:lineRule="auto"/>
        <w:ind w:left="425.19685039370086" w:firstLine="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Los sujetos que resulten exentos o desgravados expresamente según disposiciones del Código Tributario Municipal.</w:t>
      </w:r>
    </w:p>
    <w:p w:rsidR="00000000" w:rsidDel="00000000" w:rsidP="00000000" w:rsidRDefault="00000000" w:rsidRPr="00000000" w14:paraId="00000021">
      <w:pPr>
        <w:widowControl w:val="0"/>
        <w:spacing w:line="360" w:lineRule="auto"/>
        <w:ind w:firstLine="9.6"/>
        <w:contextualSpacing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ind w:firstLine="9.6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ART.6°)</w:t>
      </w:r>
      <w:r w:rsidDel="00000000" w:rsidR="00000000" w:rsidRPr="00000000">
        <w:rPr>
          <w:sz w:val="22"/>
          <w:szCs w:val="22"/>
          <w:rtl w:val="0"/>
        </w:rPr>
        <w:t xml:space="preserve"> Deberá omitirse la retención del gravamen municipal cuando se trate de pagos parciales o totales de hasta un importe equivalente a veinte (20) veces la Cuota Mínima General del Derecho de Registro e Inspección aplicable a locales sin personal en relación de dependencia, vigente a la fecha que corresponda pagar la retención.</w:t>
      </w:r>
    </w:p>
    <w:p w:rsidR="00000000" w:rsidDel="00000000" w:rsidP="00000000" w:rsidRDefault="00000000" w:rsidRPr="00000000" w14:paraId="00000023">
      <w:pPr>
        <w:widowControl w:val="0"/>
        <w:spacing w:line="360" w:lineRule="auto"/>
        <w:ind w:firstLine="14.399999999999999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 mínimo establecido en el presente artículo será diario, debiendo considerarse la resultante de la suma de dos o más pagos confeccionados en la misma fecha.</w:t>
      </w:r>
    </w:p>
    <w:p w:rsidR="00000000" w:rsidDel="00000000" w:rsidP="00000000" w:rsidRDefault="00000000" w:rsidRPr="00000000" w14:paraId="00000024">
      <w:pPr>
        <w:widowControl w:val="0"/>
        <w:spacing w:line="360" w:lineRule="auto"/>
        <w:ind w:firstLine="14.399999999999999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ART.7°)</w:t>
      </w:r>
      <w:r w:rsidDel="00000000" w:rsidR="00000000" w:rsidRPr="00000000">
        <w:rPr>
          <w:sz w:val="22"/>
          <w:szCs w:val="22"/>
          <w:rtl w:val="0"/>
        </w:rPr>
        <w:t xml:space="preserve"> El agente de retención deberá documentar las retenciones que efectúe por triplicado, consignando nombre, domicilio y número de cuenta del contribuyente del Derecho de Registro e Inspección; fecha, monto sujeto a retención, alícuota aplicada y monto retenido; sello y firma del agente de retención. La entrega al contribuyente de la documentación así expedida o intervenida constituirá constancia suficiente de la retención practicada, sin perjuicio de las facultades de verificación con que cuenta el Fisco Municipal.</w:t>
      </w:r>
    </w:p>
    <w:p w:rsidR="00000000" w:rsidDel="00000000" w:rsidP="00000000" w:rsidRDefault="00000000" w:rsidRPr="00000000" w14:paraId="00000026">
      <w:pPr>
        <w:widowControl w:val="0"/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ART.8°)</w:t>
      </w:r>
      <w:r w:rsidDel="00000000" w:rsidR="00000000" w:rsidRPr="00000000">
        <w:rPr>
          <w:sz w:val="22"/>
          <w:szCs w:val="22"/>
          <w:rtl w:val="0"/>
        </w:rPr>
        <w:t xml:space="preserve"> El monto efectivamente retenido, acorde al artículo 3° inciso a) de la presente Ordenanza, tendrá para el contribuyente el carácter de tributo ingresado pudiendo ser deducido por el mismo de su declaración jurada mensual a partir del periodo en curso al momento de practicarse la retención con cargo a la actividad inscripta. </w:t>
      </w:r>
    </w:p>
    <w:p w:rsidR="00000000" w:rsidDel="00000000" w:rsidP="00000000" w:rsidRDefault="00000000" w:rsidRPr="00000000" w14:paraId="00000028">
      <w:pPr>
        <w:widowControl w:val="0"/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En el caso de que la retención se sustente en los incisos b) y c) del artículo 3°, la misma mantendrá el carácter de tributo ingresado pero no podrá ser deducida o computada como crédito fiscal, dado que la actividad retenida no se encuentra inscripta a la fecha del pago por el cual se aplica el presente Régimen.</w:t>
      </w:r>
    </w:p>
    <w:p w:rsidR="00000000" w:rsidDel="00000000" w:rsidP="00000000" w:rsidRDefault="00000000" w:rsidRPr="00000000" w14:paraId="00000029">
      <w:pPr>
        <w:widowControl w:val="0"/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ART.9°)</w:t>
      </w:r>
      <w:r w:rsidDel="00000000" w:rsidR="00000000" w:rsidRPr="00000000">
        <w:rPr>
          <w:sz w:val="22"/>
          <w:szCs w:val="22"/>
          <w:rtl w:val="0"/>
        </w:rPr>
        <w:t xml:space="preserve"> Cuando las retenciones realizadas originen saldos a favor del contribuyente, su imputación podrá ser trasladada a la liquidación del o de los anticipos siguientes, aún excediendo el período fiscal, hasta su agotamiento.</w:t>
      </w:r>
    </w:p>
    <w:p w:rsidR="00000000" w:rsidDel="00000000" w:rsidP="00000000" w:rsidRDefault="00000000" w:rsidRPr="00000000" w14:paraId="0000002B">
      <w:pPr>
        <w:widowControl w:val="0"/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360" w:lineRule="auto"/>
        <w:ind w:firstLine="14.399999999999999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ART.10°)</w:t>
      </w:r>
      <w:r w:rsidDel="00000000" w:rsidR="00000000" w:rsidRPr="00000000">
        <w:rPr>
          <w:sz w:val="22"/>
          <w:szCs w:val="22"/>
          <w:rtl w:val="0"/>
        </w:rPr>
        <w:t xml:space="preserve"> Las retenciones practicadas deberán ingresarse hasta el quinto (5°) día hábil siguiente al de su confección, en la Caja Municipal o en la Cuenta Corriente N° 02/00 del Nuevo Banco de Santa Fe S.A. – Rentas Generales - o en la que en el futuro se disponga a tal fin.</w:t>
      </w:r>
    </w:p>
    <w:p w:rsidR="00000000" w:rsidDel="00000000" w:rsidP="00000000" w:rsidRDefault="00000000" w:rsidRPr="00000000" w14:paraId="0000002D">
      <w:pPr>
        <w:widowControl w:val="0"/>
        <w:spacing w:line="360" w:lineRule="auto"/>
        <w:ind w:firstLine="14.399999999999999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ART.11°)</w:t>
      </w:r>
      <w:r w:rsidDel="00000000" w:rsidR="00000000" w:rsidRPr="00000000">
        <w:rPr>
          <w:sz w:val="22"/>
          <w:szCs w:val="22"/>
          <w:rtl w:val="0"/>
        </w:rPr>
        <w:t xml:space="preserve"> El ingreso de las retenciones efectuadas acorde al artículo anterior será apropiado a la partida presupuestaria bajo la denominación “Derecho de Registro e Inspección - Retención a Proveedores".</w:t>
      </w:r>
    </w:p>
    <w:p w:rsidR="00000000" w:rsidDel="00000000" w:rsidP="00000000" w:rsidRDefault="00000000" w:rsidRPr="00000000" w14:paraId="0000002F">
      <w:pPr>
        <w:widowControl w:val="0"/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360" w:lineRule="auto"/>
        <w:ind w:firstLine="9.6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ART.12°)</w:t>
      </w:r>
      <w:r w:rsidDel="00000000" w:rsidR="00000000" w:rsidRPr="00000000">
        <w:rPr>
          <w:sz w:val="22"/>
          <w:szCs w:val="22"/>
          <w:rtl w:val="0"/>
        </w:rPr>
        <w:t xml:space="preserve"> El Agente de Retención deberá confeccionar un listado que contenga cronológicamente los datos de cada retención practicada, según lo requerido en el artículo 7° de la presente Ordenanza.</w:t>
      </w:r>
    </w:p>
    <w:p w:rsidR="00000000" w:rsidDel="00000000" w:rsidP="00000000" w:rsidRDefault="00000000" w:rsidRPr="00000000" w14:paraId="00000031">
      <w:pPr>
        <w:widowControl w:val="0"/>
        <w:spacing w:line="360" w:lineRule="auto"/>
        <w:ind w:firstLine="9.6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ART.13°)</w:t>
      </w:r>
      <w:r w:rsidDel="00000000" w:rsidR="00000000" w:rsidRPr="00000000">
        <w:rPr>
          <w:sz w:val="22"/>
          <w:szCs w:val="22"/>
          <w:rtl w:val="0"/>
        </w:rPr>
        <w:t xml:space="preserve"> El Régimen tendrá vigencia a partir del 01 de Noviembre de 2.018, pudiendo el Departamento Ejecutivo reglamentar la presente Ordenanza.</w:t>
      </w:r>
    </w:p>
    <w:p w:rsidR="00000000" w:rsidDel="00000000" w:rsidP="00000000" w:rsidRDefault="00000000" w:rsidRPr="00000000" w14:paraId="00000033">
      <w:pPr>
        <w:widowControl w:val="0"/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ART.14°)</w:t>
      </w:r>
      <w:r w:rsidDel="00000000" w:rsidR="00000000" w:rsidRPr="00000000">
        <w:rPr>
          <w:sz w:val="22"/>
          <w:szCs w:val="22"/>
          <w:rtl w:val="0"/>
        </w:rPr>
        <w:t xml:space="preserve"> El término </w:t>
      </w:r>
      <w:r w:rsidDel="00000000" w:rsidR="00000000" w:rsidRPr="00000000">
        <w:rPr>
          <w:b w:val="1"/>
          <w:sz w:val="22"/>
          <w:szCs w:val="22"/>
          <w:rtl w:val="0"/>
        </w:rPr>
        <w:t xml:space="preserve">comprobantes fiscales respaldatorios</w:t>
      </w:r>
      <w:r w:rsidDel="00000000" w:rsidR="00000000" w:rsidRPr="00000000">
        <w:rPr>
          <w:sz w:val="22"/>
          <w:szCs w:val="22"/>
          <w:rtl w:val="0"/>
        </w:rPr>
        <w:t xml:space="preserve">, establecido en el Artículo 1° de la presente Ordenanza, engloba expresamente los siguientes documentos:</w:t>
      </w:r>
    </w:p>
    <w:p w:rsidR="00000000" w:rsidDel="00000000" w:rsidP="00000000" w:rsidRDefault="00000000" w:rsidRPr="00000000" w14:paraId="00000035">
      <w:pPr>
        <w:widowControl w:val="0"/>
        <w:spacing w:line="360" w:lineRule="auto"/>
        <w:ind w:left="425.19685039370086" w:firstLine="15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a) Facturas </w:t>
      </w:r>
    </w:p>
    <w:p w:rsidR="00000000" w:rsidDel="00000000" w:rsidP="00000000" w:rsidRDefault="00000000" w:rsidRPr="00000000" w14:paraId="00000036">
      <w:pPr>
        <w:widowControl w:val="0"/>
        <w:spacing w:line="360" w:lineRule="auto"/>
        <w:ind w:left="425.19685039370086" w:firstLine="15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b) Recibos - para el caso de prestadores de servicios</w:t>
      </w:r>
    </w:p>
    <w:p w:rsidR="00000000" w:rsidDel="00000000" w:rsidP="00000000" w:rsidRDefault="00000000" w:rsidRPr="00000000" w14:paraId="00000037">
      <w:pPr>
        <w:widowControl w:val="0"/>
        <w:spacing w:line="360" w:lineRule="auto"/>
        <w:ind w:left="425.19685039370086" w:firstLine="15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c) Notas de Débito </w:t>
      </w:r>
    </w:p>
    <w:p w:rsidR="00000000" w:rsidDel="00000000" w:rsidP="00000000" w:rsidRDefault="00000000" w:rsidRPr="00000000" w14:paraId="00000038">
      <w:pPr>
        <w:widowControl w:val="0"/>
        <w:spacing w:line="360" w:lineRule="auto"/>
        <w:ind w:left="425.19685039370086" w:firstLine="15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d) Tiquets, facturas, tiquets factura, notas de débito y demás documentos fiscales emitidos mediante la utilización del equipamiento electrónico denominado “Controlador Fiscal”, homologado por A.F.I.P.</w:t>
      </w:r>
    </w:p>
    <w:p w:rsidR="00000000" w:rsidDel="00000000" w:rsidP="00000000" w:rsidRDefault="00000000" w:rsidRPr="00000000" w14:paraId="00000039">
      <w:pPr>
        <w:widowControl w:val="0"/>
        <w:spacing w:line="360" w:lineRule="auto"/>
        <w:ind w:left="425.19685039370086" w:firstLine="15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Cualquier otro que en el futuro reemplace los enunciados anteriormente.</w:t>
      </w:r>
    </w:p>
    <w:p w:rsidR="00000000" w:rsidDel="00000000" w:rsidP="00000000" w:rsidRDefault="00000000" w:rsidRPr="00000000" w14:paraId="0000003A">
      <w:pPr>
        <w:widowControl w:val="0"/>
        <w:spacing w:line="360" w:lineRule="auto"/>
        <w:ind w:firstLine="335.2671755725191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ART.15°)</w:t>
      </w:r>
      <w:r w:rsidDel="00000000" w:rsidR="00000000" w:rsidRPr="00000000">
        <w:rPr>
          <w:sz w:val="22"/>
          <w:szCs w:val="22"/>
          <w:rtl w:val="0"/>
        </w:rPr>
        <w:t xml:space="preserve"> Deróganse las Ordenanzas N° 2.533/2.018 y N° 2.549/2.018.</w:t>
      </w:r>
    </w:p>
    <w:p w:rsidR="00000000" w:rsidDel="00000000" w:rsidP="00000000" w:rsidRDefault="00000000" w:rsidRPr="00000000" w14:paraId="0000003C">
      <w:pPr>
        <w:widowControl w:val="0"/>
        <w:spacing w:line="360" w:lineRule="auto"/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360" w:lineRule="auto"/>
        <w:contextualSpacing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ART.16°)</w:t>
      </w:r>
      <w:r w:rsidDel="00000000" w:rsidR="00000000" w:rsidRPr="00000000">
        <w:rPr>
          <w:sz w:val="22"/>
          <w:szCs w:val="22"/>
          <w:rtl w:val="0"/>
        </w:rPr>
        <w:t xml:space="preserve"> 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Comuníquese, Publíquese, y Regístrese.</w:t>
      </w:r>
    </w:p>
    <w:p w:rsidR="00000000" w:rsidDel="00000000" w:rsidP="00000000" w:rsidRDefault="00000000" w:rsidRPr="00000000" w14:paraId="0000003E">
      <w:pPr>
        <w:spacing w:after="0" w:line="360" w:lineRule="auto"/>
        <w:contextualSpacing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Dado en Sala de Sesiones del Concejo Deliberante, </w:t>
      </w:r>
      <w:r w:rsidDel="00000000" w:rsidR="00000000" w:rsidRPr="00000000">
        <w:rPr>
          <w:sz w:val="22"/>
          <w:szCs w:val="22"/>
          <w:rtl w:val="0"/>
        </w:rPr>
        <w:t xml:space="preserve">25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de octubre de 2018.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pgSz w:h="20160" w:w="12240"/>
      <w:pgMar w:bottom="1304" w:top="277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