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360" w:lineRule="auto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Expte. Nº 6.667/18.</w:t>
      </w:r>
    </w:p>
    <w:p w:rsidR="00000000" w:rsidDel="00000000" w:rsidP="00000000" w:rsidRDefault="00000000" w:rsidRPr="00000000" w14:paraId="00000001">
      <w:pPr>
        <w:widowControl w:val="0"/>
        <w:spacing w:after="0"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VISTO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Ley Orgánica de Municipalidades N° 2.756</w:t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 Código Tributario Municipal, Ordenanza N° 1.415/1.999 y Ordenanzas complementarias.</w:t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Tributaria N° 2.493/2.017,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N° 2.532/2.018,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Ordenanza N° 2.439/2.016, y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contextualSpacing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debido a los pedidos efectuados por contribuyentes que por diferentes razones les resulta imposible regularizar su situación tributaria antes del 31 de Octubre de 2018 y así poder acogerse a los beneficios establecidos por el Régimen Especial de Regularización y Facilidades de Pago de Derecho de Registro e Inspección establecidos por Ordenanza N° 2.532/2.018, es menester prorrogar la vigencia de la misma al 31 de Diciembre de 2018 inclusive.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resulta necesario actualizar y adecuar las herramientas con las que cuenta el Municipio para disminuir el grado de evasión fiscal y asegurar así el ingreso de los fondos que resultan necesarios para sostener el funcionamiento de los servicios involucrados en su accionar, asegurando el aumento de la recaudación y facilitando el correcto cumplimiento de las obligaciones.</w:t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en virtud a la situación económica, financiera y social actual de los contribuyentes de la ciudad de Villa Gobernador Gálvez, el Dto. Ejecutivo Municipal pretende una activa gestión tendiente a la regularización de la situación fiscal de los mismos respecto a la mora en los pagos de Derecho de Registro e Inspección, y en particular llevar adelante un plan integral para el reordenamiento de Agencias de Remisses.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ind w:firstLine="720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Que a los efectos de posibilitar el cumplimiento de dichas obligaciones, sin recurrir al reclamo judicial para lograr el cobro de las mismas, se hace necesario prorrogar un Régimen Especial de Regularización y Facilidades para el pago del tributo municipal mencionado en el párrafo anterior.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firstLine="720"/>
        <w:contextualSpacing w:val="0"/>
        <w:jc w:val="both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Por</w:t>
      </w:r>
      <w:r w:rsidDel="00000000" w:rsidR="00000000" w:rsidRPr="00000000">
        <w:rPr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todo ello, el Concejo Deliberante en uso de sus atribuciones aprueba la siguiente:</w:t>
      </w:r>
    </w:p>
    <w:p w:rsidR="00000000" w:rsidDel="00000000" w:rsidP="00000000" w:rsidRDefault="00000000" w:rsidRPr="00000000" w14:paraId="0000000E">
      <w:pPr>
        <w:spacing w:after="0" w:line="360" w:lineRule="auto"/>
        <w:contextualSpacing w:val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jc w:val="center"/>
        <w:rPr>
          <w:b w:val="1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ORDENANZA Nº 2.571/2018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contextualSpacing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ART.1°)</w:t>
      </w:r>
      <w:r w:rsidDel="00000000" w:rsidR="00000000" w:rsidRPr="00000000">
        <w:rPr>
          <w:sz w:val="22"/>
          <w:szCs w:val="22"/>
          <w:rtl w:val="0"/>
        </w:rPr>
        <w:t xml:space="preserve"> Prorrógase la vigencia del Régimen Especial de Regularización y Facilidades para el pago de Derecho de Registro e Inspección, fijado por Ordenanza N° 2.532/2.018, modificándose el artículo 8°, el cual quedará redactado de la siguiente manera:</w:t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contextualSpacing w:val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“El término de vigencia de esta moratoria será desde la fecha de promulgación de la presente Ordenanza hasta el 31 de Diciembre del 2018"</w:t>
      </w:r>
    </w:p>
    <w:p w:rsidR="00000000" w:rsidDel="00000000" w:rsidP="00000000" w:rsidRDefault="00000000" w:rsidRPr="00000000" w14:paraId="00000013">
      <w:pPr>
        <w:spacing w:after="0" w:line="360" w:lineRule="auto"/>
        <w:ind w:left="5" w:right="-1" w:hanging="11"/>
        <w:contextualSpacing w:val="0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contextualSpacing w:val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ART.2°)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Comuníquese, Publíquese, y Regístrese.</w:t>
      </w:r>
    </w:p>
    <w:p w:rsidR="00000000" w:rsidDel="00000000" w:rsidP="00000000" w:rsidRDefault="00000000" w:rsidRPr="00000000" w14:paraId="00000015">
      <w:pPr>
        <w:spacing w:after="0" w:line="360" w:lineRule="auto"/>
        <w:contextualSpacing w:val="0"/>
        <w:jc w:val="both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Dado en Sala de Sesiones del Concejo Deliberante, </w:t>
      </w:r>
      <w:r w:rsidDel="00000000" w:rsidR="00000000" w:rsidRPr="00000000">
        <w:rPr>
          <w:sz w:val="22"/>
          <w:szCs w:val="22"/>
          <w:rtl w:val="0"/>
        </w:rPr>
        <w:t xml:space="preserve">14 de noviem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bre de 2018.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20160" w:w="12240"/>
      <w:pgMar w:bottom="1298.2677165354332" w:top="2777.9527559055123" w:left="1133.8582677165355" w:right="1133.858267716535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