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contextualSpacing w:val="0"/>
        <w:jc w:val="center"/>
        <w:rPr>
          <w:sz w:val="22"/>
          <w:szCs w:val="22"/>
        </w:rPr>
      </w:pPr>
      <w:r w:rsidDel="00000000" w:rsidR="00000000" w:rsidRPr="00000000">
        <w:rPr>
          <w:sz w:val="22"/>
          <w:szCs w:val="22"/>
          <w:rtl w:val="0"/>
        </w:rPr>
        <w:t xml:space="preserve">Expte. Nº 6.683/18.</w:t>
      </w:r>
    </w:p>
    <w:p w:rsidR="00000000" w:rsidDel="00000000" w:rsidP="00000000" w:rsidRDefault="00000000" w:rsidRPr="00000000" w14:paraId="00000001">
      <w:pPr>
        <w:spacing w:after="0" w:line="360" w:lineRule="auto"/>
        <w:ind w:firstLine="708"/>
        <w:contextualSpacing w:val="0"/>
        <w:jc w:val="both"/>
        <w:rPr>
          <w:b w:val="1"/>
          <w:sz w:val="22"/>
          <w:szCs w:val="22"/>
          <w:u w:val="single"/>
        </w:rPr>
      </w:pPr>
      <w:r w:rsidDel="00000000" w:rsidR="00000000" w:rsidRPr="00000000">
        <w:rPr>
          <w:rtl w:val="0"/>
        </w:rPr>
      </w:r>
    </w:p>
    <w:p w:rsidR="00000000" w:rsidDel="00000000" w:rsidP="00000000" w:rsidRDefault="00000000" w:rsidRPr="00000000" w14:paraId="00000002">
      <w:pPr>
        <w:spacing w:after="0" w:line="360" w:lineRule="auto"/>
        <w:contextualSpacing w:val="0"/>
        <w:jc w:val="both"/>
        <w:rPr>
          <w:b w:val="1"/>
          <w:sz w:val="22"/>
          <w:szCs w:val="22"/>
        </w:rPr>
      </w:pPr>
      <w:r w:rsidDel="00000000" w:rsidR="00000000" w:rsidRPr="00000000">
        <w:rPr>
          <w:b w:val="1"/>
          <w:sz w:val="22"/>
          <w:szCs w:val="22"/>
          <w:u w:val="single"/>
          <w:rtl w:val="0"/>
        </w:rPr>
        <w:t xml:space="preserve">VISTO</w:t>
      </w:r>
      <w:r w:rsidDel="00000000" w:rsidR="00000000" w:rsidRPr="00000000">
        <w:rPr>
          <w:b w:val="1"/>
          <w:sz w:val="22"/>
          <w:szCs w:val="22"/>
          <w:rtl w:val="0"/>
        </w:rPr>
        <w:t xml:space="preserve">:</w:t>
      </w:r>
    </w:p>
    <w:p w:rsidR="00000000" w:rsidDel="00000000" w:rsidP="00000000" w:rsidRDefault="00000000" w:rsidRPr="00000000" w14:paraId="00000003">
      <w:pPr>
        <w:spacing w:after="0" w:line="360" w:lineRule="auto"/>
        <w:ind w:firstLine="708"/>
        <w:contextualSpacing w:val="0"/>
        <w:jc w:val="both"/>
        <w:rPr>
          <w:sz w:val="22"/>
          <w:szCs w:val="22"/>
        </w:rPr>
      </w:pPr>
      <w:r w:rsidDel="00000000" w:rsidR="00000000" w:rsidRPr="00000000">
        <w:rPr>
          <w:sz w:val="22"/>
          <w:szCs w:val="22"/>
          <w:rtl w:val="0"/>
        </w:rPr>
        <w:t xml:space="preserve">La Ley 2756.</w:t>
      </w:r>
    </w:p>
    <w:p w:rsidR="00000000" w:rsidDel="00000000" w:rsidP="00000000" w:rsidRDefault="00000000" w:rsidRPr="00000000" w14:paraId="00000004">
      <w:pPr>
        <w:spacing w:after="0" w:line="360" w:lineRule="auto"/>
        <w:ind w:firstLine="708"/>
        <w:contextualSpacing w:val="0"/>
        <w:jc w:val="both"/>
        <w:rPr>
          <w:sz w:val="22"/>
          <w:szCs w:val="22"/>
        </w:rPr>
      </w:pPr>
      <w:r w:rsidDel="00000000" w:rsidR="00000000" w:rsidRPr="00000000">
        <w:rPr>
          <w:sz w:val="22"/>
          <w:szCs w:val="22"/>
          <w:rtl w:val="0"/>
        </w:rPr>
        <w:t xml:space="preserve">La Ordenanza N° 2457/17.</w:t>
      </w:r>
    </w:p>
    <w:p w:rsidR="00000000" w:rsidDel="00000000" w:rsidP="00000000" w:rsidRDefault="00000000" w:rsidRPr="00000000" w14:paraId="00000005">
      <w:pPr>
        <w:spacing w:after="0" w:line="360" w:lineRule="auto"/>
        <w:ind w:firstLine="708"/>
        <w:contextualSpacing w:val="0"/>
        <w:jc w:val="both"/>
        <w:rPr>
          <w:sz w:val="22"/>
          <w:szCs w:val="22"/>
        </w:rPr>
      </w:pPr>
      <w:r w:rsidDel="00000000" w:rsidR="00000000" w:rsidRPr="00000000">
        <w:rPr>
          <w:sz w:val="22"/>
          <w:szCs w:val="22"/>
          <w:rtl w:val="0"/>
        </w:rPr>
        <w:t xml:space="preserve">La nota remitida a este Concejo Deliberante por el Departamento EJecutivo MUnicipal, solicitando aprobación para la gestión de residuos sólidos urbanos provenientes de las localidades que no conforman el consorcio regional Girsu “Zona Sur”, y</w:t>
      </w:r>
    </w:p>
    <w:p w:rsidR="00000000" w:rsidDel="00000000" w:rsidP="00000000" w:rsidRDefault="00000000" w:rsidRPr="00000000" w14:paraId="00000006">
      <w:pPr>
        <w:spacing w:after="0" w:line="360" w:lineRule="auto"/>
        <w:contextualSpacing w:val="0"/>
        <w:jc w:val="both"/>
        <w:rPr>
          <w:sz w:val="22"/>
          <w:szCs w:val="22"/>
          <w:u w:val="single"/>
        </w:rPr>
      </w:pPr>
      <w:r w:rsidDel="00000000" w:rsidR="00000000" w:rsidRPr="00000000">
        <w:rPr>
          <w:rtl w:val="0"/>
        </w:rPr>
      </w:r>
    </w:p>
    <w:p w:rsidR="00000000" w:rsidDel="00000000" w:rsidP="00000000" w:rsidRDefault="00000000" w:rsidRPr="00000000" w14:paraId="00000007">
      <w:pPr>
        <w:spacing w:after="0" w:line="360" w:lineRule="auto"/>
        <w:contextualSpacing w:val="0"/>
        <w:jc w:val="both"/>
        <w:rPr>
          <w:b w:val="1"/>
          <w:sz w:val="22"/>
          <w:szCs w:val="22"/>
        </w:rPr>
      </w:pPr>
      <w:r w:rsidDel="00000000" w:rsidR="00000000" w:rsidRPr="00000000">
        <w:rPr>
          <w:b w:val="1"/>
          <w:sz w:val="22"/>
          <w:szCs w:val="22"/>
          <w:u w:val="single"/>
          <w:rtl w:val="0"/>
        </w:rPr>
        <w:t xml:space="preserve">CONSIDERANDO</w:t>
      </w:r>
      <w:r w:rsidDel="00000000" w:rsidR="00000000" w:rsidRPr="00000000">
        <w:rPr>
          <w:b w:val="1"/>
          <w:sz w:val="22"/>
          <w:szCs w:val="22"/>
          <w:rtl w:val="0"/>
        </w:rPr>
        <w:t xml:space="preserve">:</w:t>
      </w:r>
    </w:p>
    <w:p w:rsidR="00000000" w:rsidDel="00000000" w:rsidP="00000000" w:rsidRDefault="00000000" w:rsidRPr="00000000" w14:paraId="00000008">
      <w:pPr>
        <w:spacing w:after="0" w:line="360" w:lineRule="auto"/>
        <w:ind w:firstLine="720"/>
        <w:contextualSpacing w:val="0"/>
        <w:jc w:val="both"/>
        <w:rPr>
          <w:sz w:val="22"/>
          <w:szCs w:val="22"/>
        </w:rPr>
      </w:pPr>
      <w:r w:rsidDel="00000000" w:rsidR="00000000" w:rsidRPr="00000000">
        <w:rPr>
          <w:sz w:val="22"/>
          <w:szCs w:val="22"/>
          <w:rtl w:val="0"/>
        </w:rPr>
        <w:t xml:space="preserve">Que el Departamento Ejecutivo solicita aprobación a fin de posibilitar la gestión de residuos provenientes en localidades que no conforman el consorcio regional (cuya constitución fuera aprobado por la Resolución N° 310/17  Ministerio de Medio Ambiente - Provincia de Santa Fe y su estatuto ratificado por Ordenanza N° 2.484/17), ello en virtud del requerimiento expresado en el Art. 2° de la Ordenanza N° 2.457/17</w:t>
      </w:r>
    </w:p>
    <w:p w:rsidR="00000000" w:rsidDel="00000000" w:rsidP="00000000" w:rsidRDefault="00000000" w:rsidRPr="00000000" w14:paraId="00000009">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esto resulta necesario, conforme a lo definido por el Ministerio de Medio Ambiente de la Provincia como autoridad de aplicación, en su carácter otorgado por la Ley 13055 cuando, al definir la capacidad operativa del Centro, requiere del ingreso de 400 toneladas por día para lograr un balance técnico-económico para el funcionamiento en condiciones de operación normal y hacerse sustentable.</w:t>
      </w:r>
    </w:p>
    <w:p w:rsidR="00000000" w:rsidDel="00000000" w:rsidP="00000000" w:rsidRDefault="00000000" w:rsidRPr="00000000" w14:paraId="0000000A">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las localidades miembros del Consorcio GIRSU Zona Sur no generan dicha cantidad de toneladas de RSU por día ya que la producción de residuos de las mismas es de aproximadamente 118 toneladas por día; de forma que, la gestión de esa cantidad de toneladas torna antieconómico el   procesamiento de los residuos en el Centro.</w:t>
      </w:r>
    </w:p>
    <w:p w:rsidR="00000000" w:rsidDel="00000000" w:rsidP="00000000" w:rsidRDefault="00000000" w:rsidRPr="00000000" w14:paraId="0000000B">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ante tal diferencia entre el aporte y lo necesario, resulta imperiosa la necesidad de gestionar convenios de prestación de</w:t>
      </w:r>
      <w:r w:rsidDel="00000000" w:rsidR="00000000" w:rsidRPr="00000000">
        <w:rPr>
          <w:i w:val="1"/>
          <w:sz w:val="22"/>
          <w:szCs w:val="22"/>
          <w:rtl w:val="0"/>
        </w:rPr>
        <w:t xml:space="preserve"> </w:t>
      </w:r>
      <w:r w:rsidDel="00000000" w:rsidR="00000000" w:rsidRPr="00000000">
        <w:rPr>
          <w:sz w:val="22"/>
          <w:szCs w:val="22"/>
          <w:rtl w:val="0"/>
        </w:rPr>
        <w:t xml:space="preserve">servicios a generadores, sean estos del sector público o privado, en su carácter de terceros (o sea que no forman parte del Consorcio), para recibir sus residuos sólidos domiciliarios y residuos sólidos urbanos (RSD/RSU) dentro de los límites técnicos y económicos que permitan garantizar los servicios comprometidos con los miembros del Consorcio, para tornar sustentable la operación general del Centro.</w:t>
      </w:r>
    </w:p>
    <w:p w:rsidR="00000000" w:rsidDel="00000000" w:rsidP="00000000" w:rsidRDefault="00000000" w:rsidRPr="00000000" w14:paraId="0000000C">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es por ello que se solicita a este Concejo la Autorización para la gestión de residuos provenientes de localidades que no conforman el Consorcio Regional, destacándose que –del informe emitido por el Ministerio de Medio Ambiente- sería conveniente prestar el servicio a las localidades que, con carácter enunciativo, se mencionan a continuación: Albarellos, Álvarez, Acebal, Carmen del Sauce, Coronel Bogado, Coronel Domínguez, Empalme Villa Constitución, Godoy, Pavón, Rosario -zona sur-, Rueda, Soldini, Theobald, Uranga, Villa Amelia y Villa Constitución, entre otras.</w:t>
      </w:r>
    </w:p>
    <w:p w:rsidR="00000000" w:rsidDel="00000000" w:rsidP="00000000" w:rsidRDefault="00000000" w:rsidRPr="00000000" w14:paraId="0000000D">
      <w:pPr>
        <w:spacing w:after="0" w:line="360" w:lineRule="auto"/>
        <w:ind w:firstLine="708"/>
        <w:contextualSpacing w:val="0"/>
        <w:jc w:val="both"/>
        <w:rPr>
          <w:i w:val="0"/>
          <w:smallCaps w:val="0"/>
          <w:strike w:val="0"/>
          <w:sz w:val="22"/>
          <w:szCs w:val="22"/>
          <w:u w:val="none"/>
          <w:shd w:fill="auto" w:val="clear"/>
          <w:vertAlign w:val="baseline"/>
        </w:rPr>
      </w:pPr>
      <w:r w:rsidDel="00000000" w:rsidR="00000000" w:rsidRPr="00000000">
        <w:rPr>
          <w:sz w:val="22"/>
          <w:szCs w:val="22"/>
          <w:rtl w:val="0"/>
        </w:rPr>
        <w:t xml:space="preserve">Por</w:t>
      </w:r>
      <w:r w:rsidDel="00000000" w:rsidR="00000000" w:rsidRPr="00000000">
        <w:rPr>
          <w:i w:val="0"/>
          <w:smallCaps w:val="0"/>
          <w:strike w:val="0"/>
          <w:sz w:val="22"/>
          <w:szCs w:val="22"/>
          <w:u w:val="none"/>
          <w:shd w:fill="auto" w:val="clear"/>
          <w:vertAlign w:val="baseline"/>
          <w:rtl w:val="0"/>
        </w:rPr>
        <w:t xml:space="preserve"> todo ello, el Concejo Deliberante en uso de sus atribuciones aprueba el siguiente:</w:t>
      </w:r>
    </w:p>
    <w:p w:rsidR="00000000" w:rsidDel="00000000" w:rsidP="00000000" w:rsidRDefault="00000000" w:rsidRPr="00000000" w14:paraId="0000000E">
      <w:pPr>
        <w:spacing w:after="0" w:line="360" w:lineRule="auto"/>
        <w:contextualSpacing w:val="0"/>
        <w:jc w:val="both"/>
        <w:rPr>
          <w:sz w:val="22"/>
          <w:szCs w:val="22"/>
          <w:u w:val="single"/>
        </w:rPr>
      </w:pPr>
      <w:r w:rsidDel="00000000" w:rsidR="00000000" w:rsidRPr="00000000">
        <w:rPr>
          <w:rtl w:val="0"/>
        </w:rPr>
      </w:r>
    </w:p>
    <w:p w:rsidR="00000000" w:rsidDel="00000000" w:rsidP="00000000" w:rsidRDefault="00000000" w:rsidRPr="00000000" w14:paraId="0000000F">
      <w:pPr>
        <w:spacing w:after="0" w:line="360" w:lineRule="auto"/>
        <w:contextualSpacing w:val="0"/>
        <w:jc w:val="center"/>
        <w:rPr>
          <w:b w:val="1"/>
          <w:sz w:val="28"/>
          <w:szCs w:val="28"/>
          <w:u w:val="single"/>
          <w:vertAlign w:val="baseline"/>
        </w:rPr>
      </w:pPr>
      <w:r w:rsidDel="00000000" w:rsidR="00000000" w:rsidRPr="00000000">
        <w:rPr>
          <w:b w:val="1"/>
          <w:sz w:val="28"/>
          <w:szCs w:val="28"/>
          <w:u w:val="single"/>
          <w:rtl w:val="0"/>
        </w:rPr>
        <w:t xml:space="preserve">DECRETO</w:t>
      </w:r>
      <w:r w:rsidDel="00000000" w:rsidR="00000000" w:rsidRPr="00000000">
        <w:rPr>
          <w:b w:val="1"/>
          <w:sz w:val="28"/>
          <w:szCs w:val="28"/>
          <w:u w:val="single"/>
          <w:vertAlign w:val="baseline"/>
          <w:rtl w:val="0"/>
        </w:rPr>
        <w:t xml:space="preserve"> Nº </w:t>
      </w:r>
      <w:r w:rsidDel="00000000" w:rsidR="00000000" w:rsidRPr="00000000">
        <w:rPr>
          <w:b w:val="1"/>
          <w:sz w:val="28"/>
          <w:szCs w:val="28"/>
          <w:u w:val="single"/>
          <w:rtl w:val="0"/>
        </w:rPr>
        <w:t xml:space="preserve">1.228</w:t>
      </w:r>
      <w:r w:rsidDel="00000000" w:rsidR="00000000" w:rsidRPr="00000000">
        <w:rPr>
          <w:b w:val="1"/>
          <w:sz w:val="28"/>
          <w:szCs w:val="28"/>
          <w:u w:val="single"/>
          <w:vertAlign w:val="baseline"/>
          <w:rtl w:val="0"/>
        </w:rPr>
        <w:t xml:space="preserve">/2018</w:t>
      </w:r>
    </w:p>
    <w:p w:rsidR="00000000" w:rsidDel="00000000" w:rsidP="00000000" w:rsidRDefault="00000000" w:rsidRPr="00000000" w14:paraId="00000010">
      <w:pPr>
        <w:widowControl w:val="0"/>
        <w:spacing w:after="0" w:line="360" w:lineRule="auto"/>
        <w:contextualSpacing w:val="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1">
      <w:pPr>
        <w:spacing w:after="0" w:line="360" w:lineRule="auto"/>
        <w:contextualSpacing w:val="0"/>
        <w:jc w:val="both"/>
        <w:rPr>
          <w:sz w:val="22"/>
          <w:szCs w:val="22"/>
        </w:rPr>
      </w:pPr>
      <w:r w:rsidDel="00000000" w:rsidR="00000000" w:rsidRPr="00000000">
        <w:rPr>
          <w:b w:val="1"/>
          <w:sz w:val="22"/>
          <w:szCs w:val="22"/>
          <w:rtl w:val="0"/>
        </w:rPr>
        <w:t xml:space="preserve">ART.1°) </w:t>
      </w:r>
      <w:r w:rsidDel="00000000" w:rsidR="00000000" w:rsidRPr="00000000">
        <w:rPr>
          <w:sz w:val="22"/>
          <w:szCs w:val="22"/>
          <w:rtl w:val="0"/>
        </w:rPr>
        <w:t xml:space="preserve">Autorizase al gestión integral de residuos sólidos urbanos provenientes de  localidades que no conforman el consorcio regional de gestión integral de residuos sólidos urbanos “Zona Sur”, destacándose que, el informe emitido por el Ministerio de Medio Ambiente de la Provincia de Santa Fe, sería conveniente prestar el servicio a las localidades que, con carácter enunciado, se mencionan a continuación: Albarellos, Álvarez, Acebal, Carmen del Sauce, Coronel Bogado, Coronel Dominguez, Empalme Villa Constitución, Godoy, Pavón, Rosario-Zona Sur-, Rueda, Soldini, Theobald, Uranga, Villa Amelia y Villa Constitución entre otras.</w:t>
      </w:r>
    </w:p>
    <w:p w:rsidR="00000000" w:rsidDel="00000000" w:rsidP="00000000" w:rsidRDefault="00000000" w:rsidRPr="00000000" w14:paraId="00000012">
      <w:pPr>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13">
      <w:pPr>
        <w:spacing w:after="0" w:line="360" w:lineRule="auto"/>
        <w:contextualSpacing w:val="0"/>
        <w:jc w:val="both"/>
        <w:rPr>
          <w:sz w:val="22"/>
          <w:szCs w:val="22"/>
          <w:vertAlign w:val="baseline"/>
        </w:rPr>
      </w:pPr>
      <w:r w:rsidDel="00000000" w:rsidR="00000000" w:rsidRPr="00000000">
        <w:rPr>
          <w:b w:val="1"/>
          <w:sz w:val="22"/>
          <w:szCs w:val="22"/>
          <w:rtl w:val="0"/>
        </w:rPr>
        <w:t xml:space="preserve">ART.3°)</w:t>
      </w:r>
      <w:r w:rsidDel="00000000" w:rsidR="00000000" w:rsidRPr="00000000">
        <w:rPr>
          <w:sz w:val="22"/>
          <w:szCs w:val="22"/>
          <w:rtl w:val="0"/>
        </w:rPr>
        <w:t xml:space="preserve">  </w:t>
      </w:r>
      <w:r w:rsidDel="00000000" w:rsidR="00000000" w:rsidRPr="00000000">
        <w:rPr>
          <w:b w:val="1"/>
          <w:sz w:val="22"/>
          <w:szCs w:val="22"/>
          <w:vertAlign w:val="baseline"/>
          <w:rtl w:val="0"/>
        </w:rPr>
        <w:t xml:space="preserve"> </w:t>
      </w:r>
      <w:r w:rsidDel="00000000" w:rsidR="00000000" w:rsidRPr="00000000">
        <w:rPr>
          <w:sz w:val="22"/>
          <w:szCs w:val="22"/>
          <w:vertAlign w:val="baseline"/>
          <w:rtl w:val="0"/>
        </w:rPr>
        <w:t xml:space="preserve">Comuníquese, Publíquese, y Regístrese.</w:t>
      </w:r>
    </w:p>
    <w:p w:rsidR="00000000" w:rsidDel="00000000" w:rsidP="00000000" w:rsidRDefault="00000000" w:rsidRPr="00000000" w14:paraId="00000014">
      <w:pPr>
        <w:spacing w:after="0" w:line="360" w:lineRule="auto"/>
        <w:contextualSpacing w:val="0"/>
        <w:jc w:val="both"/>
        <w:rPr>
          <w:sz w:val="22"/>
          <w:szCs w:val="22"/>
          <w:vertAlign w:val="baseline"/>
        </w:rPr>
      </w:pPr>
      <w:r w:rsidDel="00000000" w:rsidR="00000000" w:rsidRPr="00000000">
        <w:rPr>
          <w:sz w:val="22"/>
          <w:szCs w:val="22"/>
          <w:vertAlign w:val="baseline"/>
          <w:rtl w:val="0"/>
        </w:rPr>
        <w:t xml:space="preserve">Dado en Sala de Sesiones del Concejo Deliberante, 29</w:t>
      </w:r>
      <w:r w:rsidDel="00000000" w:rsidR="00000000" w:rsidRPr="00000000">
        <w:rPr>
          <w:sz w:val="22"/>
          <w:szCs w:val="22"/>
          <w:rtl w:val="0"/>
        </w:rPr>
        <w:t xml:space="preserve"> de noviem</w:t>
      </w:r>
      <w:r w:rsidDel="00000000" w:rsidR="00000000" w:rsidRPr="00000000">
        <w:rPr>
          <w:sz w:val="22"/>
          <w:szCs w:val="22"/>
          <w:vertAlign w:val="baseline"/>
          <w:rtl w:val="0"/>
        </w:rPr>
        <w:t xml:space="preserve">bre de 2018.</w:t>
      </w:r>
      <w:r w:rsidDel="00000000" w:rsidR="00000000" w:rsidRPr="00000000">
        <w:rPr>
          <w:b w:val="1"/>
          <w:sz w:val="22"/>
          <w:szCs w:val="22"/>
          <w:vertAlign w:val="baseline"/>
          <w:rtl w:val="0"/>
        </w:rPr>
        <w:t xml:space="preserve"> </w:t>
      </w:r>
      <w:r w:rsidDel="00000000" w:rsidR="00000000" w:rsidRPr="00000000">
        <w:rPr>
          <w:rtl w:val="0"/>
        </w:rPr>
      </w:r>
    </w:p>
    <w:sectPr>
      <w:headerReference r:id="rId6" w:type="default"/>
      <w:headerReference r:id="rId7" w:type="even"/>
      <w:pgSz w:h="20160" w:w="12240"/>
      <w:pgMar w:bottom="1298.2677165354332"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