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0" w:right="38.740157480316384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Expte. Nº 6.834/19.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VISTO</w:t>
      </w:r>
      <w:r w:rsidDel="00000000" w:rsidR="00000000" w:rsidRPr="00000000">
        <w:rPr>
          <w:b w:val="1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Ordenanza N° 2.602/19 por medio de la cual se procedió a declarar la necesidad y urgencia y autorizar la compra directa del combustible destinado al normal funcionamiento del Parque Automotor,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Ley de Obras Públicas N° 5.188, su Decreto Reglamentario,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ind w:firstLine="720"/>
        <w:jc w:val="both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La Ley 2.756 arts. 10 y 11; y</w:t>
      </w:r>
      <w:r w:rsidDel="00000000" w:rsidR="00000000" w:rsidRPr="00000000">
        <w:rPr>
          <w:sz w:val="22"/>
          <w:szCs w:val="22"/>
        </w:rPr>
        <w:drawing>
          <wp:inline distB="0" distT="0" distL="114300" distR="114300">
            <wp:extent cx="152400" cy="152400"/>
            <wp:effectExtent b="0" l="0" r="0" t="0"/>
            <wp:docPr descr="Descripción: https://cfl.dropboxstatic.com/static/images/icons/icon_spacer-vflN3BYt2.gif" id="1" name="image1.png"/>
            <a:graphic>
              <a:graphicData uri="http://schemas.openxmlformats.org/drawingml/2006/picture">
                <pic:pic>
                  <pic:nvPicPr>
                    <pic:cNvPr descr="Descripción: https://cfl.dropboxstatic.com/static/images/icons/icon_spacer-vflN3BYt2.g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both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CONSIDERANDO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atento a haberse detectado un error involuntario al momento de redactarse el correspondiente Proyecto elevado a ese Cuerpo Deliberativo en lo referido a las cantidades exactas a utilizar en un período de doce meses, resulta conveniente proceder a hacer las correcciones referidas a las cantidades de gas oil de alto y bajo octanaje como así también de nafta super de alto octanaje.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 por lo expuesto resulta procedente modificar la precitada Ordenanza N° 2.602/19.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0" w:right="38.740157480316384"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todo ello, el Concejo Deliberante en uso de sus atribuciones sanciona la siguiente:</w:t>
      </w:r>
    </w:p>
    <w:p w:rsidR="00000000" w:rsidDel="00000000" w:rsidP="00000000" w:rsidRDefault="00000000" w:rsidRPr="00000000" w14:paraId="0000000B">
      <w:pPr>
        <w:spacing w:line="360" w:lineRule="auto"/>
        <w:ind w:left="0" w:right="38.740157480316384" w:firstLine="0"/>
        <w:jc w:val="both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right="38.740157480316384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ORDENANZA Nº 2.618/2.019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0" w:right="38.740157480316384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ART.1º)</w:t>
      </w:r>
      <w:r w:rsidDel="00000000" w:rsidR="00000000" w:rsidRPr="00000000">
        <w:rPr>
          <w:sz w:val="22"/>
          <w:szCs w:val="22"/>
          <w:rtl w:val="0"/>
        </w:rPr>
        <w:t xml:space="preserve"> Modifíquese el Artículo N° 2 de la Ordenanza N° 2.602/19 que quedará redactado de la siguiente manera: …”Autorízase al Departamento Ejecutivo Municipal a realizar la compra directa de combustible por un período de doce meses, prescindiendo de las formalidades de las leyes de Obras Públicas y 2.756, y según el siguiente detalle: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Gas oil bajo octanaje: 12.500 litros mensuales.-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Gas oil alto octanaje: 15.000 litros mensuales.-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Nafta super alto octanaje: 13.333,33 litros mensuales…”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ART.2º) </w:t>
      </w:r>
      <w:r w:rsidDel="00000000" w:rsidR="00000000" w:rsidRPr="00000000">
        <w:rPr>
          <w:sz w:val="22"/>
          <w:szCs w:val="22"/>
          <w:rtl w:val="0"/>
        </w:rPr>
        <w:t xml:space="preserve">Comuníquese, Publíquese, y Regístrese.</w:t>
      </w:r>
    </w:p>
    <w:p w:rsidR="00000000" w:rsidDel="00000000" w:rsidP="00000000" w:rsidRDefault="00000000" w:rsidRPr="00000000" w14:paraId="00000014">
      <w:pPr>
        <w:spacing w:line="360" w:lineRule="auto"/>
        <w:ind w:right="38.740157480316384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Dado en Sala de Sesiones del Concejo Deliberante, 1 de agosto de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right="62.59842519685151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right="62.59842519685151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ind w:right="62.59842519685151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right="62.59842519685151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left="0" w:right="38.740157480316384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20160" w:w="12240"/>
      <w:pgMar w:bottom="1298.2677165354332" w:top="2777.9527559055123" w:left="1133.8582677165355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